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5E2210">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hAnsi="仿宋" w:eastAsia="黑体" w:cs="Times New Roman"/>
          <w:b w:val="0"/>
          <w:bCs/>
          <w:sz w:val="32"/>
          <w:szCs w:val="24"/>
        </w:rPr>
      </w:pPr>
      <w:r>
        <w:rPr>
          <w:rFonts w:ascii="仿宋_GB2312" w:hAnsi="仿宋" w:eastAsia="黑体" w:cs="Times New Roman"/>
          <w:b w:val="0"/>
          <w:bCs/>
          <w:sz w:val="32"/>
          <w:szCs w:val="24"/>
        </w:rPr>
        <w:t>附件</w:t>
      </w:r>
      <w:bookmarkStart w:id="0" w:name="_GoBack"/>
      <w:r>
        <w:rPr>
          <w:rFonts w:hint="default" w:ascii="Times New Roman" w:hAnsi="Times New Roman" w:eastAsia="黑体" w:cs="Times New Roman"/>
          <w:b w:val="0"/>
          <w:bCs/>
          <w:sz w:val="32"/>
          <w:szCs w:val="24"/>
        </w:rPr>
        <w:t>1</w:t>
      </w:r>
      <w:bookmarkEnd w:id="0"/>
    </w:p>
    <w:p w14:paraId="09C9E9E8">
      <w:pPr>
        <w:spacing w:before="156" w:beforeLines="50" w:after="156" w:afterLines="50" w:line="360" w:lineRule="auto"/>
        <w:jc w:val="center"/>
        <w:rPr>
          <w:rFonts w:ascii="仿宋_GB2312" w:hAnsi="仿宋" w:eastAsia="黑体" w:cs="Times New Roman"/>
          <w:b w:val="0"/>
          <w:bCs/>
          <w:sz w:val="24"/>
          <w:szCs w:val="24"/>
        </w:rPr>
      </w:pPr>
      <w:r>
        <w:rPr>
          <w:rFonts w:hint="eastAsia" w:ascii="黑体" w:hAnsi="黑体" w:eastAsia="黑体" w:cs="Times New Roman"/>
          <w:b w:val="0"/>
          <w:bCs/>
          <w:sz w:val="24"/>
          <w:szCs w:val="24"/>
        </w:rPr>
        <w:t>2</w:t>
      </w:r>
      <w:r>
        <w:rPr>
          <w:rFonts w:ascii="黑体" w:hAnsi="黑体" w:eastAsia="黑体" w:cs="Times New Roman"/>
          <w:b w:val="0"/>
          <w:bCs/>
          <w:sz w:val="24"/>
          <w:szCs w:val="24"/>
        </w:rPr>
        <w:t>02</w:t>
      </w:r>
      <w:r>
        <w:rPr>
          <w:rFonts w:hint="eastAsia" w:ascii="黑体" w:hAnsi="黑体" w:eastAsia="黑体" w:cs="Times New Roman"/>
          <w:b w:val="0"/>
          <w:bCs/>
          <w:sz w:val="24"/>
          <w:szCs w:val="24"/>
          <w:lang w:val="en-US" w:eastAsia="zh-CN"/>
        </w:rPr>
        <w:t>5</w:t>
      </w:r>
      <w:r>
        <w:rPr>
          <w:rFonts w:ascii="黑体" w:hAnsi="黑体" w:eastAsia="黑体" w:cs="Times New Roman"/>
          <w:b w:val="0"/>
          <w:bCs/>
          <w:sz w:val="24"/>
          <w:szCs w:val="24"/>
        </w:rPr>
        <w:t>年</w:t>
      </w:r>
      <w:r>
        <w:rPr>
          <w:rFonts w:hint="eastAsia" w:ascii="黑体" w:hAnsi="黑体" w:eastAsia="黑体" w:cs="Times New Roman"/>
          <w:b w:val="0"/>
          <w:bCs/>
          <w:sz w:val="24"/>
          <w:szCs w:val="24"/>
        </w:rPr>
        <w:t>汽车标准化</w:t>
      </w:r>
      <w:r>
        <w:rPr>
          <w:rFonts w:ascii="黑体" w:hAnsi="黑体" w:eastAsia="黑体" w:cs="Times New Roman"/>
          <w:b w:val="0"/>
          <w:bCs/>
          <w:sz w:val="24"/>
          <w:szCs w:val="24"/>
        </w:rPr>
        <w:t>公益性开放课题申请列表</w:t>
      </w:r>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3"/>
        <w:gridCol w:w="566"/>
        <w:gridCol w:w="1842"/>
        <w:gridCol w:w="5943"/>
        <w:gridCol w:w="4527"/>
        <w:gridCol w:w="757"/>
      </w:tblGrid>
      <w:tr w14:paraId="1D791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blHeader/>
          <w:jc w:val="center"/>
        </w:trPr>
        <w:tc>
          <w:tcPr>
            <w:tcW w:w="133" w:type="pct"/>
            <w:shd w:val="clear" w:color="auto" w:fill="auto"/>
            <w:tcMar>
              <w:top w:w="0" w:type="dxa"/>
              <w:left w:w="28" w:type="dxa"/>
              <w:bottom w:w="0" w:type="dxa"/>
              <w:right w:w="28" w:type="dxa"/>
            </w:tcMar>
            <w:vAlign w:val="center"/>
          </w:tcPr>
          <w:p w14:paraId="18DE7A35">
            <w:pPr>
              <w:keepNext w:val="0"/>
              <w:keepLines w:val="0"/>
              <w:pageBreakBefore w:val="0"/>
              <w:kinsoku/>
              <w:wordWrap/>
              <w:overflowPunct/>
              <w:topLinePunct w:val="0"/>
              <w:autoSpaceDE/>
              <w:autoSpaceDN/>
              <w:bidi w:val="0"/>
              <w:snapToGrid w:val="0"/>
              <w:spacing w:before="79" w:beforeLines="25" w:after="79" w:afterLines="25"/>
              <w:jc w:val="center"/>
              <w:rPr>
                <w:rFonts w:ascii="Times New Roman" w:hAnsi="Times New Roman" w:cs="Times New Roman"/>
                <w:b/>
                <w:bCs/>
                <w:sz w:val="21"/>
                <w:szCs w:val="21"/>
              </w:rPr>
            </w:pPr>
            <w:r>
              <w:rPr>
                <w:rFonts w:ascii="Times New Roman" w:hAnsi="Times New Roman" w:cs="Times New Roman"/>
                <w:b/>
                <w:bCs/>
                <w:sz w:val="21"/>
                <w:szCs w:val="21"/>
              </w:rPr>
              <w:t>序号</w:t>
            </w:r>
          </w:p>
        </w:tc>
        <w:tc>
          <w:tcPr>
            <w:tcW w:w="202" w:type="pct"/>
            <w:tcMar>
              <w:top w:w="0" w:type="dxa"/>
              <w:left w:w="28" w:type="dxa"/>
              <w:bottom w:w="0" w:type="dxa"/>
              <w:right w:w="28" w:type="dxa"/>
            </w:tcMar>
            <w:vAlign w:val="center"/>
          </w:tcPr>
          <w:p w14:paraId="396FC1BF">
            <w:pPr>
              <w:keepNext w:val="0"/>
              <w:keepLines w:val="0"/>
              <w:pageBreakBefore w:val="0"/>
              <w:kinsoku/>
              <w:wordWrap/>
              <w:overflowPunct/>
              <w:topLinePunct w:val="0"/>
              <w:autoSpaceDE/>
              <w:autoSpaceDN/>
              <w:bidi w:val="0"/>
              <w:snapToGrid w:val="0"/>
              <w:spacing w:before="79" w:beforeLines="25" w:after="79" w:afterLines="25"/>
              <w:jc w:val="center"/>
              <w:rPr>
                <w:rFonts w:ascii="Times New Roman" w:hAnsi="Times New Roman" w:cs="Times New Roman"/>
                <w:b/>
                <w:bCs/>
                <w:sz w:val="21"/>
                <w:szCs w:val="21"/>
              </w:rPr>
            </w:pPr>
            <w:r>
              <w:rPr>
                <w:rFonts w:ascii="Times New Roman" w:hAnsi="Times New Roman" w:cs="Times New Roman"/>
                <w:b/>
                <w:bCs/>
                <w:sz w:val="21"/>
                <w:szCs w:val="21"/>
              </w:rPr>
              <w:t>领域</w:t>
            </w:r>
          </w:p>
        </w:tc>
        <w:tc>
          <w:tcPr>
            <w:tcW w:w="657" w:type="pct"/>
            <w:shd w:val="clear" w:color="auto" w:fill="auto"/>
            <w:tcMar>
              <w:top w:w="0" w:type="dxa"/>
              <w:left w:w="28" w:type="dxa"/>
              <w:bottom w:w="0" w:type="dxa"/>
              <w:right w:w="28" w:type="dxa"/>
            </w:tcMar>
            <w:vAlign w:val="center"/>
          </w:tcPr>
          <w:p w14:paraId="667409B1">
            <w:pPr>
              <w:keepNext w:val="0"/>
              <w:keepLines w:val="0"/>
              <w:pageBreakBefore w:val="0"/>
              <w:kinsoku/>
              <w:wordWrap/>
              <w:overflowPunct/>
              <w:topLinePunct w:val="0"/>
              <w:autoSpaceDE/>
              <w:autoSpaceDN/>
              <w:bidi w:val="0"/>
              <w:snapToGrid w:val="0"/>
              <w:spacing w:before="79" w:beforeLines="25" w:after="79" w:afterLines="25"/>
              <w:jc w:val="center"/>
              <w:rPr>
                <w:rFonts w:ascii="Times New Roman" w:hAnsi="Times New Roman" w:cs="Times New Roman"/>
                <w:b/>
                <w:bCs/>
                <w:sz w:val="21"/>
                <w:szCs w:val="21"/>
              </w:rPr>
            </w:pPr>
            <w:r>
              <w:rPr>
                <w:rFonts w:ascii="Times New Roman" w:hAnsi="Times New Roman" w:cs="Times New Roman"/>
                <w:b/>
                <w:bCs/>
                <w:sz w:val="21"/>
                <w:szCs w:val="21"/>
              </w:rPr>
              <w:t>课题名称</w:t>
            </w:r>
          </w:p>
        </w:tc>
        <w:tc>
          <w:tcPr>
            <w:tcW w:w="2120" w:type="pct"/>
            <w:shd w:val="clear" w:color="auto" w:fill="auto"/>
            <w:tcMar>
              <w:top w:w="0" w:type="dxa"/>
              <w:left w:w="28" w:type="dxa"/>
              <w:bottom w:w="0" w:type="dxa"/>
              <w:right w:w="28" w:type="dxa"/>
            </w:tcMar>
            <w:vAlign w:val="center"/>
          </w:tcPr>
          <w:p w14:paraId="756A60A7">
            <w:pPr>
              <w:keepNext w:val="0"/>
              <w:keepLines w:val="0"/>
              <w:pageBreakBefore w:val="0"/>
              <w:kinsoku/>
              <w:wordWrap/>
              <w:overflowPunct/>
              <w:topLinePunct w:val="0"/>
              <w:autoSpaceDE/>
              <w:autoSpaceDN/>
              <w:bidi w:val="0"/>
              <w:snapToGrid w:val="0"/>
              <w:spacing w:before="79" w:beforeLines="25" w:after="79" w:afterLines="25"/>
              <w:jc w:val="center"/>
              <w:rPr>
                <w:rFonts w:ascii="Times New Roman" w:hAnsi="Times New Roman" w:cs="Times New Roman"/>
                <w:b/>
                <w:bCs/>
                <w:sz w:val="21"/>
                <w:szCs w:val="21"/>
              </w:rPr>
            </w:pPr>
            <w:r>
              <w:rPr>
                <w:rFonts w:ascii="Times New Roman" w:hAnsi="Times New Roman" w:cs="Times New Roman"/>
                <w:b/>
                <w:bCs/>
                <w:sz w:val="21"/>
                <w:szCs w:val="21"/>
              </w:rPr>
              <w:t>研究目标</w:t>
            </w:r>
          </w:p>
        </w:tc>
        <w:tc>
          <w:tcPr>
            <w:tcW w:w="1615" w:type="pct"/>
            <w:shd w:val="clear" w:color="auto" w:fill="auto"/>
            <w:tcMar>
              <w:top w:w="0" w:type="dxa"/>
              <w:left w:w="28" w:type="dxa"/>
              <w:bottom w:w="0" w:type="dxa"/>
              <w:right w:w="28" w:type="dxa"/>
            </w:tcMar>
            <w:vAlign w:val="center"/>
          </w:tcPr>
          <w:p w14:paraId="00DC0190">
            <w:pPr>
              <w:keepNext w:val="0"/>
              <w:keepLines w:val="0"/>
              <w:pageBreakBefore w:val="0"/>
              <w:kinsoku/>
              <w:wordWrap/>
              <w:overflowPunct/>
              <w:topLinePunct w:val="0"/>
              <w:autoSpaceDE/>
              <w:autoSpaceDN/>
              <w:bidi w:val="0"/>
              <w:snapToGrid w:val="0"/>
              <w:spacing w:before="79" w:beforeLines="25" w:after="79" w:afterLines="25"/>
              <w:jc w:val="center"/>
              <w:rPr>
                <w:rFonts w:ascii="Times New Roman" w:hAnsi="Times New Roman" w:cs="Times New Roman"/>
                <w:b/>
                <w:bCs/>
                <w:sz w:val="21"/>
                <w:szCs w:val="21"/>
              </w:rPr>
            </w:pPr>
            <w:r>
              <w:rPr>
                <w:rFonts w:ascii="Times New Roman" w:hAnsi="Times New Roman" w:cs="Times New Roman"/>
                <w:b/>
                <w:bCs/>
                <w:sz w:val="21"/>
                <w:szCs w:val="21"/>
              </w:rPr>
              <w:t>考核指标</w:t>
            </w:r>
          </w:p>
        </w:tc>
        <w:tc>
          <w:tcPr>
            <w:tcW w:w="270" w:type="pct"/>
            <w:shd w:val="clear" w:color="auto" w:fill="auto"/>
            <w:tcMar>
              <w:top w:w="0" w:type="dxa"/>
              <w:left w:w="28" w:type="dxa"/>
              <w:bottom w:w="0" w:type="dxa"/>
              <w:right w:w="28" w:type="dxa"/>
            </w:tcMar>
            <w:vAlign w:val="center"/>
          </w:tcPr>
          <w:p w14:paraId="3B16A29A">
            <w:pPr>
              <w:keepNext w:val="0"/>
              <w:keepLines w:val="0"/>
              <w:pageBreakBefore w:val="0"/>
              <w:kinsoku/>
              <w:wordWrap/>
              <w:overflowPunct/>
              <w:topLinePunct w:val="0"/>
              <w:autoSpaceDE/>
              <w:autoSpaceDN/>
              <w:bidi w:val="0"/>
              <w:snapToGrid w:val="0"/>
              <w:spacing w:before="79" w:beforeLines="25" w:after="79" w:afterLines="25"/>
              <w:jc w:val="center"/>
              <w:rPr>
                <w:rFonts w:ascii="Times New Roman" w:hAnsi="Times New Roman" w:cs="Times New Roman"/>
                <w:b/>
                <w:bCs/>
                <w:sz w:val="21"/>
                <w:szCs w:val="21"/>
                <w:highlight w:val="none"/>
              </w:rPr>
            </w:pPr>
            <w:r>
              <w:rPr>
                <w:rFonts w:ascii="Times New Roman" w:hAnsi="Times New Roman" w:cs="Times New Roman"/>
                <w:b/>
                <w:bCs/>
                <w:sz w:val="21"/>
                <w:szCs w:val="21"/>
                <w:highlight w:val="none"/>
              </w:rPr>
              <w:t>金额</w:t>
            </w:r>
          </w:p>
          <w:p w14:paraId="7899B342">
            <w:pPr>
              <w:keepNext w:val="0"/>
              <w:keepLines w:val="0"/>
              <w:pageBreakBefore w:val="0"/>
              <w:kinsoku/>
              <w:wordWrap/>
              <w:overflowPunct/>
              <w:topLinePunct w:val="0"/>
              <w:autoSpaceDE/>
              <w:autoSpaceDN/>
              <w:bidi w:val="0"/>
              <w:snapToGrid w:val="0"/>
              <w:spacing w:before="79" w:beforeLines="25" w:after="79" w:afterLines="25"/>
              <w:jc w:val="center"/>
              <w:rPr>
                <w:rFonts w:ascii="Times New Roman" w:hAnsi="Times New Roman" w:cs="Times New Roman"/>
                <w:b/>
                <w:bCs/>
                <w:sz w:val="21"/>
                <w:szCs w:val="21"/>
              </w:rPr>
            </w:pPr>
            <w:r>
              <w:rPr>
                <w:rFonts w:hint="eastAsia" w:ascii="Times New Roman" w:hAnsi="Times New Roman" w:cs="Times New Roman"/>
                <w:b/>
                <w:bCs/>
                <w:sz w:val="21"/>
                <w:szCs w:val="21"/>
                <w:highlight w:val="none"/>
              </w:rPr>
              <w:t>（万元）</w:t>
            </w:r>
          </w:p>
        </w:tc>
      </w:tr>
      <w:tr w14:paraId="4A4B1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3" w:type="pct"/>
            <w:shd w:val="clear" w:color="auto" w:fill="auto"/>
            <w:tcMar>
              <w:left w:w="28" w:type="dxa"/>
              <w:right w:w="28" w:type="dxa"/>
            </w:tcMar>
            <w:vAlign w:val="center"/>
          </w:tcPr>
          <w:p w14:paraId="7BDBEAC0">
            <w:pPr>
              <w:pStyle w:val="14"/>
              <w:keepNext w:val="0"/>
              <w:keepLines w:val="0"/>
              <w:pageBreakBefore w:val="0"/>
              <w:widowControl w:val="0"/>
              <w:numPr>
                <w:ilvl w:val="0"/>
                <w:numId w:val="0"/>
              </w:numPr>
              <w:kinsoku/>
              <w:wordWrap/>
              <w:overflowPunct/>
              <w:topLinePunct w:val="0"/>
              <w:autoSpaceDE/>
              <w:autoSpaceDN/>
              <w:bidi w:val="0"/>
              <w:adjustRightInd w:val="0"/>
              <w:snapToGrid w:val="0"/>
              <w:spacing w:before="79" w:beforeLines="25" w:after="79" w:afterLines="25"/>
              <w:ind w:left="0" w:leftChars="0" w:firstLine="0" w:firstLineChars="0"/>
              <w:jc w:val="center"/>
              <w:textAlignment w:val="auto"/>
              <w:rPr>
                <w:rFonts w:ascii="Times New Roman" w:hAnsi="Times New Roman" w:eastAsia="宋体" w:cs="Times New Roman"/>
                <w:sz w:val="21"/>
                <w:szCs w:val="21"/>
              </w:rPr>
            </w:pPr>
            <w:r>
              <w:rPr>
                <w:rFonts w:hint="default" w:ascii="Times New Roman" w:hAnsi="Times New Roman" w:eastAsia="宋体" w:cs="Times New Roman"/>
                <w:kern w:val="2"/>
                <w:sz w:val="21"/>
                <w:szCs w:val="21"/>
                <w:lang w:val="en-US" w:eastAsia="zh-CN" w:bidi="ar-SA"/>
              </w:rPr>
              <w:t>1</w:t>
            </w:r>
          </w:p>
        </w:tc>
        <w:tc>
          <w:tcPr>
            <w:tcW w:w="202" w:type="pct"/>
            <w:tcMar>
              <w:left w:w="28" w:type="dxa"/>
              <w:right w:w="28" w:type="dxa"/>
            </w:tcMar>
            <w:vAlign w:val="center"/>
          </w:tcPr>
          <w:p w14:paraId="1C0E7B29">
            <w:pPr>
              <w:keepNext w:val="0"/>
              <w:keepLines w:val="0"/>
              <w:pageBreakBefore w:val="0"/>
              <w:widowControl/>
              <w:suppressLineNumbers w:val="0"/>
              <w:kinsoku/>
              <w:wordWrap/>
              <w:overflowPunct/>
              <w:topLinePunct w:val="0"/>
              <w:autoSpaceDE/>
              <w:autoSpaceDN/>
              <w:bidi w:val="0"/>
              <w:snapToGrid w:val="0"/>
              <w:spacing w:before="79" w:beforeLines="25" w:after="79" w:afterLines="25"/>
              <w:jc w:val="left"/>
              <w:textAlignment w:val="top"/>
              <w:rPr>
                <w:rFonts w:ascii="Times New Roman" w:hAnsi="Times New Roman" w:eastAsia="宋体" w:cs="Times New Roman"/>
                <w:sz w:val="21"/>
                <w:szCs w:val="21"/>
              </w:rPr>
            </w:pPr>
            <w:r>
              <w:rPr>
                <w:rFonts w:hint="eastAsia" w:ascii="Times New Roman" w:hAnsi="Times New Roman" w:eastAsia="宋体" w:cs="Times New Roman"/>
                <w:sz w:val="21"/>
                <w:szCs w:val="21"/>
              </w:rPr>
              <w:t>标准化理论研究</w:t>
            </w:r>
          </w:p>
        </w:tc>
        <w:tc>
          <w:tcPr>
            <w:tcW w:w="657" w:type="pct"/>
            <w:shd w:val="clear" w:color="auto" w:fill="auto"/>
            <w:tcMar>
              <w:left w:w="28" w:type="dxa"/>
              <w:right w:w="28" w:type="dxa"/>
            </w:tcMar>
            <w:vAlign w:val="center"/>
          </w:tcPr>
          <w:p w14:paraId="7B6F5873">
            <w:pPr>
              <w:keepNext w:val="0"/>
              <w:keepLines w:val="0"/>
              <w:pageBreakBefore w:val="0"/>
              <w:widowControl/>
              <w:suppressLineNumbers w:val="0"/>
              <w:kinsoku/>
              <w:wordWrap/>
              <w:overflowPunct/>
              <w:topLinePunct w:val="0"/>
              <w:autoSpaceDE/>
              <w:autoSpaceDN/>
              <w:bidi w:val="0"/>
              <w:snapToGrid w:val="0"/>
              <w:spacing w:before="79" w:beforeLines="25" w:after="79" w:afterLines="25"/>
              <w:jc w:val="both"/>
              <w:textAlignment w:val="top"/>
              <w:rPr>
                <w:rFonts w:ascii="Times New Roman" w:hAnsi="Times New Roman" w:eastAsia="宋体" w:cs="Times New Roman"/>
                <w:sz w:val="21"/>
                <w:szCs w:val="21"/>
              </w:rPr>
            </w:pPr>
            <w:r>
              <w:rPr>
                <w:rFonts w:hint="eastAsia" w:ascii="Times New Roman" w:hAnsi="Times New Roman" w:eastAsia="宋体" w:cs="Times New Roman"/>
                <w:sz w:val="21"/>
                <w:szCs w:val="21"/>
              </w:rPr>
              <w:t>汽车标准化效益评价指南研究</w:t>
            </w:r>
          </w:p>
        </w:tc>
        <w:tc>
          <w:tcPr>
            <w:tcW w:w="5943" w:type="dxa"/>
            <w:shd w:val="clear" w:color="auto" w:fill="auto"/>
            <w:tcMar>
              <w:left w:w="28" w:type="dxa"/>
              <w:right w:w="28" w:type="dxa"/>
            </w:tcMar>
            <w:vAlign w:val="center"/>
          </w:tcPr>
          <w:p w14:paraId="0813662E">
            <w:pPr>
              <w:keepNext w:val="0"/>
              <w:keepLines w:val="0"/>
              <w:pageBreakBefore w:val="0"/>
              <w:widowControl/>
              <w:suppressLineNumbers w:val="0"/>
              <w:kinsoku/>
              <w:wordWrap/>
              <w:overflowPunct/>
              <w:topLinePunct w:val="0"/>
              <w:autoSpaceDE/>
              <w:autoSpaceDN/>
              <w:bidi w:val="0"/>
              <w:adjustRightInd/>
              <w:snapToGrid w:val="0"/>
              <w:spacing w:before="79" w:beforeLines="25" w:after="79" w:afterLines="25"/>
              <w:jc w:val="both"/>
              <w:textAlignment w:val="top"/>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开展汽车标准化效益评价指南研究对推动产业优化升级、促进企业降本增效具有重要意义。从产业角度，随着汽车技术迭代加速，标准对产业升级的支撑力有待进一步提升，开展标准化效益评价研究有利于系统评估现有标准在全产业链中的实施效果，精准识别标准的漏洞与短板，有利于构建更完善覆盖全产业链的标准体系，支撑产业高质量发展。从企业角度，标准化工作已成为企业提升核心竞争力、优化资源配置的重要手段，然而现行GB/T 3533系列标准虽提供了效益评价通则，但缺乏针对汽车行业特点及企业实际需求的细化指导，影响企业资源投入的精准决策。</w:t>
            </w:r>
            <w:r>
              <w:rPr>
                <w:rFonts w:hint="default" w:ascii="Times New Roman" w:hAnsi="Times New Roman" w:eastAsia="宋体" w:cs="Times New Roman"/>
                <w:sz w:val="21"/>
                <w:szCs w:val="21"/>
                <w:lang w:val="en-US" w:eastAsia="zh-CN"/>
              </w:rPr>
              <w:br w:type="textWrapping"/>
            </w:r>
            <w:r>
              <w:rPr>
                <w:rFonts w:hint="default" w:ascii="Times New Roman" w:hAnsi="Times New Roman" w:eastAsia="宋体" w:cs="Times New Roman"/>
                <w:sz w:val="21"/>
                <w:szCs w:val="21"/>
                <w:lang w:val="en-US" w:eastAsia="zh-CN"/>
              </w:rPr>
              <w:t>本项目将全面梳理影响汽车标准化效益的关键指标，从经济效益、社会效益等方面构建符合汽车行业特性的标准化效益评价指南，为汽车标准持续迭代完善提供支撑，为汽车行业开展标准化效益评价提供依据，为企业制定企业标准化战略、开展标准化决策提供参考。</w:t>
            </w:r>
          </w:p>
        </w:tc>
        <w:tc>
          <w:tcPr>
            <w:tcW w:w="4527" w:type="dxa"/>
            <w:shd w:val="clear" w:color="auto" w:fill="auto"/>
            <w:tcMar>
              <w:left w:w="28" w:type="dxa"/>
              <w:right w:w="28" w:type="dxa"/>
            </w:tcMar>
            <w:vAlign w:val="center"/>
          </w:tcPr>
          <w:p w14:paraId="45D2ECED">
            <w:pPr>
              <w:keepNext w:val="0"/>
              <w:keepLines w:val="0"/>
              <w:pageBreakBefore w:val="0"/>
              <w:widowControl/>
              <w:suppressLineNumbers w:val="0"/>
              <w:kinsoku/>
              <w:wordWrap/>
              <w:overflowPunct/>
              <w:topLinePunct w:val="0"/>
              <w:autoSpaceDE/>
              <w:autoSpaceDN/>
              <w:bidi w:val="0"/>
              <w:adjustRightInd/>
              <w:snapToGrid w:val="0"/>
              <w:spacing w:before="79" w:beforeLines="25" w:after="79" w:afterLines="25"/>
              <w:jc w:val="both"/>
              <w:textAlignment w:val="top"/>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1.完成汽车标准化效益评价指南研究报告，报告至少包含以下内容：</w:t>
            </w:r>
            <w:r>
              <w:rPr>
                <w:rFonts w:hint="default" w:ascii="Times New Roman" w:hAnsi="Times New Roman" w:eastAsia="宋体" w:cs="Times New Roman"/>
                <w:sz w:val="21"/>
                <w:szCs w:val="21"/>
                <w:lang w:val="en-US" w:eastAsia="zh-CN"/>
              </w:rPr>
              <w:br w:type="textWrapping"/>
            </w:r>
            <w:r>
              <w:rPr>
                <w:rFonts w:hint="default" w:ascii="Times New Roman" w:hAnsi="Times New Roman" w:eastAsia="宋体" w:cs="Times New Roman"/>
                <w:sz w:val="21"/>
                <w:szCs w:val="21"/>
                <w:lang w:val="en-US" w:eastAsia="zh-CN"/>
              </w:rPr>
              <w:t>(1)标准化效益评价基本原则研究；</w:t>
            </w:r>
            <w:r>
              <w:rPr>
                <w:rFonts w:hint="default" w:ascii="Times New Roman" w:hAnsi="Times New Roman" w:eastAsia="宋体" w:cs="Times New Roman"/>
                <w:sz w:val="21"/>
                <w:szCs w:val="21"/>
                <w:lang w:val="en-US" w:eastAsia="zh-CN"/>
              </w:rPr>
              <w:br w:type="textWrapping"/>
            </w:r>
            <w:r>
              <w:rPr>
                <w:rFonts w:hint="default" w:ascii="Times New Roman" w:hAnsi="Times New Roman" w:eastAsia="宋体" w:cs="Times New Roman"/>
                <w:sz w:val="21"/>
                <w:szCs w:val="21"/>
                <w:lang w:val="en-US" w:eastAsia="zh-CN"/>
              </w:rPr>
              <w:t>(2)标准化效益评价影响因素研究；</w:t>
            </w:r>
            <w:r>
              <w:rPr>
                <w:rFonts w:hint="default" w:ascii="Times New Roman" w:hAnsi="Times New Roman" w:eastAsia="宋体" w:cs="Times New Roman"/>
                <w:sz w:val="21"/>
                <w:szCs w:val="21"/>
                <w:lang w:val="en-US" w:eastAsia="zh-CN"/>
              </w:rPr>
              <w:br w:type="textWrapping"/>
            </w:r>
            <w:r>
              <w:rPr>
                <w:rFonts w:hint="default" w:ascii="Times New Roman" w:hAnsi="Times New Roman" w:eastAsia="宋体" w:cs="Times New Roman"/>
                <w:sz w:val="21"/>
                <w:szCs w:val="21"/>
                <w:lang w:val="en-US" w:eastAsia="zh-CN"/>
              </w:rPr>
              <w:t>(3)数据及资料收集和处理方法研究；</w:t>
            </w:r>
            <w:r>
              <w:rPr>
                <w:rFonts w:hint="default" w:ascii="Times New Roman" w:hAnsi="Times New Roman" w:eastAsia="宋体" w:cs="Times New Roman"/>
                <w:sz w:val="21"/>
                <w:szCs w:val="21"/>
                <w:lang w:val="en-US" w:eastAsia="zh-CN"/>
              </w:rPr>
              <w:br w:type="textWrapping"/>
            </w:r>
            <w:r>
              <w:rPr>
                <w:rFonts w:hint="default" w:ascii="Times New Roman" w:hAnsi="Times New Roman" w:eastAsia="宋体" w:cs="Times New Roman"/>
                <w:sz w:val="21"/>
                <w:szCs w:val="21"/>
                <w:lang w:val="en-US" w:eastAsia="zh-CN"/>
              </w:rPr>
              <w:t>(4)标准化效益评价指标体系研究；</w:t>
            </w:r>
            <w:r>
              <w:rPr>
                <w:rFonts w:hint="default" w:ascii="Times New Roman" w:hAnsi="Times New Roman" w:eastAsia="宋体" w:cs="Times New Roman"/>
                <w:sz w:val="21"/>
                <w:szCs w:val="21"/>
                <w:lang w:val="en-US" w:eastAsia="zh-CN"/>
              </w:rPr>
              <w:br w:type="textWrapping"/>
            </w:r>
            <w:r>
              <w:rPr>
                <w:rFonts w:hint="default" w:ascii="Times New Roman" w:hAnsi="Times New Roman" w:eastAsia="宋体" w:cs="Times New Roman"/>
                <w:sz w:val="21"/>
                <w:szCs w:val="21"/>
                <w:lang w:val="en-US" w:eastAsia="zh-CN"/>
              </w:rPr>
              <w:t>(5)提供标准化效益评价示例。</w:t>
            </w:r>
            <w:r>
              <w:rPr>
                <w:rFonts w:hint="default" w:ascii="Times New Roman" w:hAnsi="Times New Roman" w:eastAsia="宋体" w:cs="Times New Roman"/>
                <w:sz w:val="21"/>
                <w:szCs w:val="21"/>
                <w:lang w:val="en-US" w:eastAsia="zh-CN"/>
              </w:rPr>
              <w:br w:type="textWrapping"/>
            </w:r>
            <w:r>
              <w:rPr>
                <w:rFonts w:hint="default" w:ascii="Times New Roman" w:hAnsi="Times New Roman" w:eastAsia="宋体" w:cs="Times New Roman"/>
                <w:sz w:val="21"/>
                <w:szCs w:val="21"/>
                <w:lang w:val="en-US" w:eastAsia="zh-CN"/>
              </w:rPr>
              <w:t>2.在《中国汽车》期刊上发表1篇论文。</w:t>
            </w:r>
          </w:p>
        </w:tc>
        <w:tc>
          <w:tcPr>
            <w:tcW w:w="270" w:type="pct"/>
            <w:shd w:val="clear" w:color="auto" w:fill="auto"/>
            <w:tcMar>
              <w:left w:w="28" w:type="dxa"/>
              <w:right w:w="28" w:type="dxa"/>
            </w:tcMar>
            <w:vAlign w:val="center"/>
          </w:tcPr>
          <w:p w14:paraId="7F4AE19D">
            <w:pPr>
              <w:keepNext w:val="0"/>
              <w:keepLines w:val="0"/>
              <w:pageBreakBefore w:val="0"/>
              <w:widowControl/>
              <w:suppressLineNumbers w:val="0"/>
              <w:kinsoku/>
              <w:wordWrap/>
              <w:overflowPunct/>
              <w:topLinePunct w:val="0"/>
              <w:autoSpaceDE/>
              <w:autoSpaceDN/>
              <w:bidi w:val="0"/>
              <w:snapToGrid w:val="0"/>
              <w:spacing w:before="79" w:beforeLines="25" w:after="79" w:afterLines="25"/>
              <w:jc w:val="center"/>
              <w:textAlignment w:val="top"/>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w:t>
            </w:r>
          </w:p>
        </w:tc>
      </w:tr>
      <w:tr w14:paraId="0F65B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3" w:type="pct"/>
            <w:shd w:val="clear" w:color="auto" w:fill="auto"/>
            <w:tcMar>
              <w:left w:w="28" w:type="dxa"/>
              <w:right w:w="28" w:type="dxa"/>
            </w:tcMar>
            <w:vAlign w:val="center"/>
          </w:tcPr>
          <w:p w14:paraId="259084C5">
            <w:pPr>
              <w:pStyle w:val="14"/>
              <w:keepNext w:val="0"/>
              <w:keepLines w:val="0"/>
              <w:pageBreakBefore w:val="0"/>
              <w:widowControl w:val="0"/>
              <w:numPr>
                <w:ilvl w:val="0"/>
                <w:numId w:val="0"/>
              </w:numPr>
              <w:kinsoku/>
              <w:wordWrap/>
              <w:overflowPunct/>
              <w:topLinePunct w:val="0"/>
              <w:autoSpaceDE/>
              <w:autoSpaceDN/>
              <w:bidi w:val="0"/>
              <w:adjustRightInd w:val="0"/>
              <w:snapToGrid w:val="0"/>
              <w:spacing w:before="79" w:beforeLines="25" w:after="79" w:afterLines="25"/>
              <w:ind w:left="0" w:leftChars="0" w:firstLine="0" w:firstLineChars="0"/>
              <w:jc w:val="center"/>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w:t>
            </w:r>
          </w:p>
        </w:tc>
        <w:tc>
          <w:tcPr>
            <w:tcW w:w="202" w:type="pct"/>
            <w:tcMar>
              <w:left w:w="28" w:type="dxa"/>
              <w:right w:w="28" w:type="dxa"/>
            </w:tcMar>
            <w:vAlign w:val="center"/>
          </w:tcPr>
          <w:p w14:paraId="539109FF">
            <w:pPr>
              <w:keepNext w:val="0"/>
              <w:keepLines w:val="0"/>
              <w:pageBreakBefore w:val="0"/>
              <w:widowControl/>
              <w:suppressLineNumbers w:val="0"/>
              <w:kinsoku/>
              <w:wordWrap/>
              <w:overflowPunct/>
              <w:topLinePunct w:val="0"/>
              <w:autoSpaceDE/>
              <w:autoSpaceDN/>
              <w:bidi w:val="0"/>
              <w:snapToGrid w:val="0"/>
              <w:spacing w:before="79" w:beforeLines="25" w:after="79" w:afterLines="25"/>
              <w:jc w:val="left"/>
              <w:textAlignment w:val="top"/>
              <w:rPr>
                <w:rFonts w:ascii="Times New Roman" w:hAnsi="Times New Roman" w:eastAsia="宋体" w:cs="Times New Roman"/>
                <w:sz w:val="21"/>
                <w:szCs w:val="21"/>
              </w:rPr>
            </w:pPr>
            <w:r>
              <w:rPr>
                <w:rFonts w:hint="eastAsia" w:ascii="Times New Roman" w:hAnsi="Times New Roman" w:eastAsia="宋体" w:cs="Times New Roman"/>
                <w:sz w:val="21"/>
                <w:szCs w:val="21"/>
              </w:rPr>
              <w:t>标准国际化</w:t>
            </w:r>
          </w:p>
        </w:tc>
        <w:tc>
          <w:tcPr>
            <w:tcW w:w="657" w:type="pct"/>
            <w:shd w:val="clear" w:color="auto" w:fill="auto"/>
            <w:tcMar>
              <w:left w:w="28" w:type="dxa"/>
              <w:right w:w="28" w:type="dxa"/>
            </w:tcMar>
            <w:vAlign w:val="center"/>
          </w:tcPr>
          <w:p w14:paraId="5661B4BB">
            <w:pPr>
              <w:keepNext w:val="0"/>
              <w:keepLines w:val="0"/>
              <w:pageBreakBefore w:val="0"/>
              <w:widowControl/>
              <w:suppressLineNumbers w:val="0"/>
              <w:kinsoku/>
              <w:wordWrap/>
              <w:overflowPunct/>
              <w:topLinePunct w:val="0"/>
              <w:autoSpaceDE/>
              <w:autoSpaceDN/>
              <w:bidi w:val="0"/>
              <w:snapToGrid w:val="0"/>
              <w:spacing w:before="79" w:beforeLines="25" w:after="79" w:afterLines="25"/>
              <w:jc w:val="both"/>
              <w:textAlignment w:val="top"/>
              <w:rPr>
                <w:rFonts w:ascii="Times New Roman" w:hAnsi="Times New Roman" w:eastAsia="宋体" w:cs="Times New Roman"/>
                <w:sz w:val="21"/>
                <w:szCs w:val="21"/>
              </w:rPr>
            </w:pPr>
            <w:r>
              <w:rPr>
                <w:rFonts w:hint="eastAsia" w:ascii="Times New Roman" w:hAnsi="Times New Roman" w:eastAsia="宋体" w:cs="Times New Roman"/>
                <w:sz w:val="21"/>
                <w:szCs w:val="21"/>
              </w:rPr>
              <w:t>汽车企业的国际标准化参与路径研究</w:t>
            </w:r>
          </w:p>
        </w:tc>
        <w:tc>
          <w:tcPr>
            <w:tcW w:w="5943" w:type="dxa"/>
            <w:shd w:val="clear" w:color="auto" w:fill="auto"/>
            <w:tcMar>
              <w:left w:w="28" w:type="dxa"/>
              <w:right w:w="28" w:type="dxa"/>
            </w:tcMar>
            <w:vAlign w:val="center"/>
          </w:tcPr>
          <w:p w14:paraId="6A7F4B71">
            <w:pPr>
              <w:keepNext w:val="0"/>
              <w:keepLines w:val="0"/>
              <w:pageBreakBefore w:val="0"/>
              <w:widowControl/>
              <w:suppressLineNumbers w:val="0"/>
              <w:kinsoku/>
              <w:wordWrap/>
              <w:overflowPunct/>
              <w:topLinePunct w:val="0"/>
              <w:autoSpaceDE/>
              <w:autoSpaceDN/>
              <w:bidi w:val="0"/>
              <w:adjustRightInd/>
              <w:snapToGrid w:val="0"/>
              <w:spacing w:before="79" w:beforeLines="25" w:after="79" w:afterLines="25"/>
              <w:jc w:val="both"/>
              <w:textAlignment w:val="top"/>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本课题聚焦汽车企业国际标准化参与，旨在助力企业深度融入。剖析国际标准对智能网联、新能源等汽车热点领域的技术与市场影响，为企业指明方向；构建企业参与国际标准化的战略定位（跟随者或主导者）选择模型，辅助科学决策；梳理ISO/TC22等现有参与路径的规则与壁垒，设计国内标准到国际标准的阶梯式升级路径；总结国际汽车标杆企业参与模式与案例以供借鉴，提出标准化人才梯队建设与提升国际话语权举措。最终构建覆盖战略规划到成果转化的全链条系统路径，为企业参与国际标准化提供全面指引。</w:t>
            </w:r>
          </w:p>
        </w:tc>
        <w:tc>
          <w:tcPr>
            <w:tcW w:w="4527" w:type="dxa"/>
            <w:shd w:val="clear" w:color="auto" w:fill="auto"/>
            <w:tcMar>
              <w:left w:w="28" w:type="dxa"/>
              <w:right w:w="28" w:type="dxa"/>
            </w:tcMar>
            <w:vAlign w:val="center"/>
          </w:tcPr>
          <w:p w14:paraId="263C9858">
            <w:pPr>
              <w:keepNext w:val="0"/>
              <w:keepLines w:val="0"/>
              <w:pageBreakBefore w:val="0"/>
              <w:widowControl/>
              <w:suppressLineNumbers w:val="0"/>
              <w:kinsoku/>
              <w:wordWrap/>
              <w:overflowPunct/>
              <w:topLinePunct w:val="0"/>
              <w:autoSpaceDE/>
              <w:autoSpaceDN/>
              <w:bidi w:val="0"/>
              <w:snapToGrid w:val="0"/>
              <w:spacing w:before="79" w:beforeLines="25" w:after="79" w:afterLines="25"/>
              <w:jc w:val="both"/>
              <w:textAlignment w:val="top"/>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1.完成汽车企业国际标准化参与路径指南研究报告，报告至少包含以下内容：</w:t>
            </w:r>
            <w:r>
              <w:rPr>
                <w:rFonts w:hint="default" w:ascii="Times New Roman" w:hAnsi="Times New Roman" w:eastAsia="宋体" w:cs="Times New Roman"/>
                <w:sz w:val="21"/>
                <w:szCs w:val="21"/>
                <w:lang w:val="en-US" w:eastAsia="zh-CN"/>
              </w:rPr>
              <w:br w:type="textWrapping"/>
            </w:r>
            <w:r>
              <w:rPr>
                <w:rFonts w:hint="default" w:ascii="Times New Roman" w:hAnsi="Times New Roman" w:eastAsia="宋体" w:cs="Times New Roman"/>
                <w:sz w:val="21"/>
                <w:szCs w:val="21"/>
                <w:lang w:val="en-US" w:eastAsia="zh-CN"/>
              </w:rPr>
              <w:t>(1)国际标准对汽车热点领域的技术与市场影响；</w:t>
            </w:r>
            <w:r>
              <w:rPr>
                <w:rFonts w:hint="default" w:ascii="Times New Roman" w:hAnsi="Times New Roman" w:eastAsia="宋体" w:cs="Times New Roman"/>
                <w:sz w:val="21"/>
                <w:szCs w:val="21"/>
                <w:lang w:val="en-US" w:eastAsia="zh-CN"/>
              </w:rPr>
              <w:br w:type="textWrapping"/>
            </w:r>
            <w:r>
              <w:rPr>
                <w:rFonts w:hint="default" w:ascii="Times New Roman" w:hAnsi="Times New Roman" w:eastAsia="宋体" w:cs="Times New Roman"/>
                <w:sz w:val="21"/>
                <w:szCs w:val="21"/>
                <w:lang w:val="en-US" w:eastAsia="zh-CN"/>
              </w:rPr>
              <w:t>(2)企业参与国际标准化的战略定位选择模型；</w:t>
            </w:r>
            <w:r>
              <w:rPr>
                <w:rFonts w:hint="default" w:ascii="Times New Roman" w:hAnsi="Times New Roman" w:eastAsia="宋体" w:cs="Times New Roman"/>
                <w:sz w:val="21"/>
                <w:szCs w:val="21"/>
                <w:lang w:val="en-US" w:eastAsia="zh-CN"/>
              </w:rPr>
              <w:br w:type="textWrapping"/>
            </w:r>
            <w:r>
              <w:rPr>
                <w:rFonts w:hint="default" w:ascii="Times New Roman" w:hAnsi="Times New Roman" w:eastAsia="宋体" w:cs="Times New Roman"/>
                <w:sz w:val="21"/>
                <w:szCs w:val="21"/>
                <w:lang w:val="en-US" w:eastAsia="zh-CN"/>
              </w:rPr>
              <w:t>(3)ISO/TC22等现有参与路径的规则与壁垒；</w:t>
            </w:r>
            <w:r>
              <w:rPr>
                <w:rFonts w:hint="default" w:ascii="Times New Roman" w:hAnsi="Times New Roman" w:eastAsia="宋体" w:cs="Times New Roman"/>
                <w:sz w:val="21"/>
                <w:szCs w:val="21"/>
                <w:lang w:val="en-US" w:eastAsia="zh-CN"/>
              </w:rPr>
              <w:br w:type="textWrapping"/>
            </w:r>
            <w:r>
              <w:rPr>
                <w:rFonts w:hint="default" w:ascii="Times New Roman" w:hAnsi="Times New Roman" w:eastAsia="宋体" w:cs="Times New Roman"/>
                <w:sz w:val="21"/>
                <w:szCs w:val="21"/>
                <w:lang w:val="en-US" w:eastAsia="zh-CN"/>
              </w:rPr>
              <w:t>(4)国际汽车标杆企业参与模式与案例。</w:t>
            </w:r>
            <w:r>
              <w:rPr>
                <w:rFonts w:hint="default" w:ascii="Times New Roman" w:hAnsi="Times New Roman" w:eastAsia="宋体" w:cs="Times New Roman"/>
                <w:sz w:val="21"/>
                <w:szCs w:val="21"/>
                <w:lang w:val="en-US" w:eastAsia="zh-CN"/>
              </w:rPr>
              <w:br w:type="textWrapping"/>
            </w:r>
            <w:r>
              <w:rPr>
                <w:rFonts w:hint="default" w:ascii="Times New Roman" w:hAnsi="Times New Roman" w:eastAsia="宋体" w:cs="Times New Roman"/>
                <w:sz w:val="21"/>
                <w:szCs w:val="21"/>
                <w:lang w:val="en-US" w:eastAsia="zh-CN"/>
              </w:rPr>
              <w:t>2.在《中国汽车》期刊上发表1篇论文。</w:t>
            </w:r>
          </w:p>
        </w:tc>
        <w:tc>
          <w:tcPr>
            <w:tcW w:w="270" w:type="pct"/>
            <w:shd w:val="clear" w:color="auto" w:fill="auto"/>
            <w:tcMar>
              <w:left w:w="28" w:type="dxa"/>
              <w:right w:w="28" w:type="dxa"/>
            </w:tcMar>
            <w:vAlign w:val="center"/>
          </w:tcPr>
          <w:p w14:paraId="57F6C444">
            <w:pPr>
              <w:keepNext w:val="0"/>
              <w:keepLines w:val="0"/>
              <w:pageBreakBefore w:val="0"/>
              <w:widowControl/>
              <w:suppressLineNumbers w:val="0"/>
              <w:kinsoku/>
              <w:wordWrap/>
              <w:overflowPunct/>
              <w:topLinePunct w:val="0"/>
              <w:autoSpaceDE/>
              <w:autoSpaceDN/>
              <w:bidi w:val="0"/>
              <w:snapToGrid w:val="0"/>
              <w:spacing w:before="79" w:beforeLines="25" w:after="79" w:afterLines="25"/>
              <w:jc w:val="center"/>
              <w:textAlignment w:val="top"/>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w:t>
            </w:r>
          </w:p>
        </w:tc>
      </w:tr>
      <w:tr w14:paraId="6D5AA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1" w:hRule="atLeast"/>
          <w:jc w:val="center"/>
        </w:trPr>
        <w:tc>
          <w:tcPr>
            <w:tcW w:w="133" w:type="pct"/>
            <w:shd w:val="clear" w:color="auto" w:fill="auto"/>
            <w:tcMar>
              <w:left w:w="28" w:type="dxa"/>
              <w:right w:w="28" w:type="dxa"/>
            </w:tcMar>
            <w:vAlign w:val="center"/>
          </w:tcPr>
          <w:p w14:paraId="03472294">
            <w:pPr>
              <w:pStyle w:val="14"/>
              <w:keepNext w:val="0"/>
              <w:keepLines w:val="0"/>
              <w:pageBreakBefore w:val="0"/>
              <w:widowControl w:val="0"/>
              <w:numPr>
                <w:ilvl w:val="0"/>
                <w:numId w:val="0"/>
              </w:numPr>
              <w:kinsoku/>
              <w:wordWrap/>
              <w:overflowPunct/>
              <w:topLinePunct w:val="0"/>
              <w:autoSpaceDE/>
              <w:autoSpaceDN/>
              <w:bidi w:val="0"/>
              <w:adjustRightInd w:val="0"/>
              <w:snapToGrid w:val="0"/>
              <w:spacing w:before="79" w:beforeLines="25" w:after="79" w:afterLines="25"/>
              <w:ind w:left="0" w:leftChars="0" w:firstLine="0" w:firstLineChars="0"/>
              <w:jc w:val="center"/>
              <w:textAlignment w:val="auto"/>
              <w:rPr>
                <w:rFonts w:ascii="Times New Roman" w:hAnsi="Times New Roman" w:eastAsia="宋体" w:cs="Times New Roman"/>
                <w:sz w:val="21"/>
                <w:szCs w:val="21"/>
              </w:rPr>
            </w:pPr>
            <w:r>
              <w:rPr>
                <w:rFonts w:hint="default" w:ascii="Times New Roman" w:hAnsi="Times New Roman" w:eastAsia="宋体" w:cs="Times New Roman"/>
                <w:kern w:val="2"/>
                <w:sz w:val="21"/>
                <w:szCs w:val="21"/>
                <w:lang w:val="en-US" w:eastAsia="zh-CN" w:bidi="ar-SA"/>
              </w:rPr>
              <w:t>3</w:t>
            </w:r>
          </w:p>
        </w:tc>
        <w:tc>
          <w:tcPr>
            <w:tcW w:w="202" w:type="pct"/>
            <w:tcMar>
              <w:left w:w="28" w:type="dxa"/>
              <w:right w:w="28" w:type="dxa"/>
            </w:tcMar>
            <w:vAlign w:val="center"/>
          </w:tcPr>
          <w:p w14:paraId="57D5D0B3">
            <w:pPr>
              <w:keepNext w:val="0"/>
              <w:keepLines w:val="0"/>
              <w:pageBreakBefore w:val="0"/>
              <w:widowControl/>
              <w:suppressLineNumbers w:val="0"/>
              <w:kinsoku/>
              <w:wordWrap/>
              <w:overflowPunct/>
              <w:topLinePunct w:val="0"/>
              <w:autoSpaceDE/>
              <w:autoSpaceDN/>
              <w:bidi w:val="0"/>
              <w:snapToGrid w:val="0"/>
              <w:spacing w:before="79" w:beforeLines="25" w:after="79" w:afterLines="25"/>
              <w:jc w:val="left"/>
              <w:textAlignment w:val="top"/>
              <w:rPr>
                <w:rFonts w:ascii="Times New Roman" w:hAnsi="Times New Roman" w:eastAsia="宋体" w:cs="Times New Roman"/>
                <w:sz w:val="21"/>
                <w:szCs w:val="21"/>
              </w:rPr>
            </w:pPr>
            <w:r>
              <w:rPr>
                <w:rFonts w:hint="eastAsia" w:ascii="Times New Roman" w:hAnsi="Times New Roman" w:eastAsia="宋体" w:cs="Times New Roman"/>
                <w:sz w:val="21"/>
                <w:szCs w:val="21"/>
              </w:rPr>
              <w:t>标准数字化</w:t>
            </w:r>
          </w:p>
        </w:tc>
        <w:tc>
          <w:tcPr>
            <w:tcW w:w="657" w:type="pct"/>
            <w:shd w:val="clear" w:color="auto" w:fill="auto"/>
            <w:tcMar>
              <w:left w:w="28" w:type="dxa"/>
              <w:right w:w="28" w:type="dxa"/>
            </w:tcMar>
            <w:vAlign w:val="center"/>
          </w:tcPr>
          <w:p w14:paraId="272D6032">
            <w:pPr>
              <w:keepNext w:val="0"/>
              <w:keepLines w:val="0"/>
              <w:pageBreakBefore w:val="0"/>
              <w:widowControl/>
              <w:suppressLineNumbers w:val="0"/>
              <w:kinsoku/>
              <w:wordWrap/>
              <w:overflowPunct/>
              <w:topLinePunct w:val="0"/>
              <w:autoSpaceDE/>
              <w:autoSpaceDN/>
              <w:bidi w:val="0"/>
              <w:snapToGrid w:val="0"/>
              <w:spacing w:before="79" w:beforeLines="25" w:after="79" w:afterLines="25"/>
              <w:jc w:val="both"/>
              <w:textAlignment w:val="top"/>
              <w:rPr>
                <w:rFonts w:ascii="Times New Roman" w:hAnsi="Times New Roman" w:eastAsia="宋体" w:cs="Times New Roman"/>
                <w:sz w:val="21"/>
                <w:szCs w:val="21"/>
              </w:rPr>
            </w:pPr>
            <w:r>
              <w:rPr>
                <w:rFonts w:hint="eastAsia" w:ascii="Times New Roman" w:hAnsi="Times New Roman" w:eastAsia="宋体" w:cs="Times New Roman"/>
                <w:sz w:val="21"/>
                <w:szCs w:val="21"/>
              </w:rPr>
              <w:t>基于DeepSeek的汽车标准大语言模型系统优化</w:t>
            </w:r>
          </w:p>
        </w:tc>
        <w:tc>
          <w:tcPr>
            <w:tcW w:w="5943" w:type="dxa"/>
            <w:shd w:val="clear" w:color="auto" w:fill="auto"/>
            <w:tcMar>
              <w:left w:w="28" w:type="dxa"/>
              <w:right w:w="28" w:type="dxa"/>
            </w:tcMar>
            <w:vAlign w:val="center"/>
          </w:tcPr>
          <w:p w14:paraId="6DB2F98A">
            <w:pPr>
              <w:keepNext w:val="0"/>
              <w:keepLines w:val="0"/>
              <w:pageBreakBefore w:val="0"/>
              <w:widowControl/>
              <w:suppressLineNumbers w:val="0"/>
              <w:kinsoku/>
              <w:wordWrap/>
              <w:overflowPunct/>
              <w:topLinePunct w:val="0"/>
              <w:autoSpaceDE/>
              <w:autoSpaceDN/>
              <w:bidi w:val="0"/>
              <w:snapToGrid w:val="0"/>
              <w:spacing w:before="79" w:beforeLines="25" w:after="79" w:afterLines="25"/>
              <w:jc w:val="both"/>
              <w:textAlignment w:val="top"/>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汽车领域标准体系庞大，内容复杂，人工查找、理解和解读标准文件往往费时费力。汽车标准大语言模型能够快速、精准地解析和提取标准条款，使从业人员能够便捷、高效地获取所需信息，提升工作效率，帮助企业合规化、自动化地进行技术研发、检测，降低合规风险，促进汽车技术创新。本课题旨在利用和整合汽车领域的标准化文件，采用知识注入等技术，提升DeepSeek模型在汽车标准相关问题的问答准确性和专业性，为汽车行业从业者和研究者提供有效的辅助工具。</w:t>
            </w:r>
          </w:p>
        </w:tc>
        <w:tc>
          <w:tcPr>
            <w:tcW w:w="4527" w:type="dxa"/>
            <w:shd w:val="clear" w:color="auto" w:fill="auto"/>
            <w:tcMar>
              <w:left w:w="28" w:type="dxa"/>
              <w:right w:w="28" w:type="dxa"/>
            </w:tcMar>
            <w:vAlign w:val="center"/>
          </w:tcPr>
          <w:p w14:paraId="0CAE56EE">
            <w:pPr>
              <w:keepNext w:val="0"/>
              <w:keepLines w:val="0"/>
              <w:pageBreakBefore w:val="0"/>
              <w:widowControl/>
              <w:suppressLineNumbers w:val="0"/>
              <w:kinsoku/>
              <w:wordWrap/>
              <w:overflowPunct/>
              <w:topLinePunct w:val="0"/>
              <w:autoSpaceDE/>
              <w:autoSpaceDN/>
              <w:bidi w:val="0"/>
              <w:snapToGrid w:val="0"/>
              <w:spacing w:before="79" w:beforeLines="25" w:after="79" w:afterLines="25"/>
              <w:jc w:val="both"/>
              <w:textAlignment w:val="top"/>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1.完成基于DeepSeek的汽车标准大语言模型系统优化报告，报告至少包含以下内容:</w:t>
            </w:r>
            <w:r>
              <w:rPr>
                <w:rFonts w:hint="default" w:ascii="Times New Roman" w:hAnsi="Times New Roman" w:eastAsia="宋体" w:cs="Times New Roman"/>
                <w:sz w:val="21"/>
                <w:szCs w:val="21"/>
                <w:lang w:val="en-US" w:eastAsia="zh-CN"/>
              </w:rPr>
              <w:br w:type="textWrapping"/>
            </w:r>
            <w:r>
              <w:rPr>
                <w:rFonts w:hint="default" w:ascii="Times New Roman" w:hAnsi="Times New Roman" w:eastAsia="宋体" w:cs="Times New Roman"/>
                <w:sz w:val="21"/>
                <w:szCs w:val="21"/>
                <w:lang w:val="en-US" w:eastAsia="zh-CN"/>
              </w:rPr>
              <w:t>（1）汽车领域标准文件的内容分析和研究。</w:t>
            </w:r>
            <w:r>
              <w:rPr>
                <w:rFonts w:hint="default" w:ascii="Times New Roman" w:hAnsi="Times New Roman" w:eastAsia="宋体" w:cs="Times New Roman"/>
                <w:sz w:val="21"/>
                <w:szCs w:val="21"/>
                <w:lang w:val="en-US" w:eastAsia="zh-CN"/>
              </w:rPr>
              <w:br w:type="textWrapping"/>
            </w:r>
            <w:r>
              <w:rPr>
                <w:rFonts w:hint="default" w:ascii="Times New Roman" w:hAnsi="Times New Roman" w:eastAsia="宋体" w:cs="Times New Roman"/>
                <w:sz w:val="21"/>
                <w:szCs w:val="21"/>
                <w:lang w:val="en-US" w:eastAsia="zh-CN"/>
              </w:rPr>
              <w:t>（2）提出基于汽车标准的知识注入技术路线，形成优化后的DeepSeek大语言模型原型系统，该系统支持用户提问汽车领域标准相关的问题并获得答案。</w:t>
            </w:r>
            <w:r>
              <w:rPr>
                <w:rFonts w:hint="default" w:ascii="Times New Roman" w:hAnsi="Times New Roman" w:eastAsia="宋体" w:cs="Times New Roman"/>
                <w:sz w:val="21"/>
                <w:szCs w:val="21"/>
                <w:lang w:val="en-US" w:eastAsia="zh-CN"/>
              </w:rPr>
              <w:br w:type="textWrapping"/>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3</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知识注入时支持不少于3种汽车标准文件类型（如国标、行标、地方标）的自动解析与利用。</w:t>
            </w:r>
            <w:r>
              <w:rPr>
                <w:rFonts w:hint="default" w:ascii="Times New Roman" w:hAnsi="Times New Roman" w:eastAsia="宋体" w:cs="Times New Roman"/>
                <w:sz w:val="21"/>
                <w:szCs w:val="21"/>
                <w:lang w:val="en-US" w:eastAsia="zh-CN"/>
              </w:rPr>
              <w:br w:type="textWrapping"/>
            </w:r>
            <w:r>
              <w:rPr>
                <w:rFonts w:hint="default" w:ascii="Times New Roman" w:hAnsi="Times New Roman" w:eastAsia="宋体" w:cs="Times New Roman"/>
                <w:sz w:val="21"/>
                <w:szCs w:val="21"/>
                <w:lang w:val="en-US" w:eastAsia="zh-CN"/>
              </w:rPr>
              <w:t>2.在《中国汽车》期刊上发表1篇论文。</w:t>
            </w:r>
          </w:p>
        </w:tc>
        <w:tc>
          <w:tcPr>
            <w:tcW w:w="270" w:type="pct"/>
            <w:shd w:val="clear" w:color="auto" w:fill="auto"/>
            <w:tcMar>
              <w:left w:w="28" w:type="dxa"/>
              <w:right w:w="28" w:type="dxa"/>
            </w:tcMar>
            <w:vAlign w:val="center"/>
          </w:tcPr>
          <w:p w14:paraId="41815B8A">
            <w:pPr>
              <w:keepNext w:val="0"/>
              <w:keepLines w:val="0"/>
              <w:pageBreakBefore w:val="0"/>
              <w:widowControl/>
              <w:suppressLineNumbers w:val="0"/>
              <w:kinsoku/>
              <w:wordWrap/>
              <w:overflowPunct/>
              <w:topLinePunct w:val="0"/>
              <w:autoSpaceDE/>
              <w:autoSpaceDN/>
              <w:bidi w:val="0"/>
              <w:snapToGrid w:val="0"/>
              <w:spacing w:before="79" w:beforeLines="25" w:after="79" w:afterLines="25"/>
              <w:jc w:val="center"/>
              <w:textAlignment w:val="top"/>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w:t>
            </w:r>
          </w:p>
        </w:tc>
      </w:tr>
      <w:tr w14:paraId="4E218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3" w:hRule="atLeast"/>
          <w:jc w:val="center"/>
        </w:trPr>
        <w:tc>
          <w:tcPr>
            <w:tcW w:w="133" w:type="pct"/>
            <w:shd w:val="clear" w:color="auto" w:fill="auto"/>
            <w:tcMar>
              <w:left w:w="28" w:type="dxa"/>
              <w:right w:w="28" w:type="dxa"/>
            </w:tcMar>
            <w:vAlign w:val="center"/>
          </w:tcPr>
          <w:p w14:paraId="474ACB81">
            <w:pPr>
              <w:pStyle w:val="14"/>
              <w:keepNext w:val="0"/>
              <w:keepLines w:val="0"/>
              <w:pageBreakBefore w:val="0"/>
              <w:widowControl w:val="0"/>
              <w:numPr>
                <w:ilvl w:val="0"/>
                <w:numId w:val="0"/>
              </w:numPr>
              <w:kinsoku/>
              <w:wordWrap/>
              <w:overflowPunct/>
              <w:topLinePunct w:val="0"/>
              <w:autoSpaceDE/>
              <w:autoSpaceDN/>
              <w:bidi w:val="0"/>
              <w:adjustRightInd w:val="0"/>
              <w:snapToGrid w:val="0"/>
              <w:spacing w:before="79" w:beforeLines="25" w:after="79" w:afterLines="25"/>
              <w:ind w:left="0" w:leftChars="0" w:firstLine="0" w:firstLineChars="0"/>
              <w:jc w:val="center"/>
              <w:textAlignment w:val="auto"/>
              <w:rPr>
                <w:rFonts w:ascii="Times New Roman" w:hAnsi="Times New Roman" w:eastAsia="宋体" w:cs="Times New Roman"/>
                <w:sz w:val="21"/>
                <w:szCs w:val="21"/>
              </w:rPr>
            </w:pPr>
            <w:r>
              <w:rPr>
                <w:rFonts w:hint="default" w:ascii="Times New Roman" w:hAnsi="Times New Roman" w:eastAsia="宋体" w:cs="Times New Roman"/>
                <w:kern w:val="2"/>
                <w:sz w:val="21"/>
                <w:szCs w:val="21"/>
                <w:lang w:val="en-US" w:eastAsia="zh-CN" w:bidi="ar-SA"/>
              </w:rPr>
              <w:t>4</w:t>
            </w:r>
          </w:p>
        </w:tc>
        <w:tc>
          <w:tcPr>
            <w:tcW w:w="202" w:type="pct"/>
            <w:tcMar>
              <w:left w:w="28" w:type="dxa"/>
              <w:right w:w="28" w:type="dxa"/>
            </w:tcMar>
            <w:vAlign w:val="center"/>
          </w:tcPr>
          <w:p w14:paraId="29755B3B">
            <w:pPr>
              <w:keepNext w:val="0"/>
              <w:keepLines w:val="0"/>
              <w:pageBreakBefore w:val="0"/>
              <w:widowControl/>
              <w:suppressLineNumbers w:val="0"/>
              <w:kinsoku/>
              <w:wordWrap/>
              <w:overflowPunct/>
              <w:topLinePunct w:val="0"/>
              <w:autoSpaceDE/>
              <w:autoSpaceDN/>
              <w:bidi w:val="0"/>
              <w:snapToGrid w:val="0"/>
              <w:spacing w:before="79" w:beforeLines="25" w:after="79" w:afterLines="25"/>
              <w:jc w:val="left"/>
              <w:textAlignment w:val="top"/>
              <w:rPr>
                <w:rFonts w:ascii="Times New Roman" w:hAnsi="Times New Roman" w:eastAsia="宋体" w:cs="Times New Roman"/>
                <w:sz w:val="21"/>
                <w:szCs w:val="21"/>
              </w:rPr>
            </w:pPr>
            <w:r>
              <w:rPr>
                <w:rFonts w:hint="eastAsia" w:ascii="Times New Roman" w:hAnsi="Times New Roman" w:eastAsia="宋体" w:cs="Times New Roman"/>
                <w:sz w:val="21"/>
                <w:szCs w:val="21"/>
              </w:rPr>
              <w:t>未来技术</w:t>
            </w:r>
          </w:p>
        </w:tc>
        <w:tc>
          <w:tcPr>
            <w:tcW w:w="657" w:type="pct"/>
            <w:shd w:val="clear" w:color="auto" w:fill="auto"/>
            <w:tcMar>
              <w:left w:w="28" w:type="dxa"/>
              <w:right w:w="28" w:type="dxa"/>
            </w:tcMar>
            <w:vAlign w:val="center"/>
          </w:tcPr>
          <w:p w14:paraId="1B935E4A">
            <w:pPr>
              <w:keepNext w:val="0"/>
              <w:keepLines w:val="0"/>
              <w:pageBreakBefore w:val="0"/>
              <w:widowControl/>
              <w:suppressLineNumbers w:val="0"/>
              <w:kinsoku/>
              <w:wordWrap/>
              <w:overflowPunct/>
              <w:topLinePunct w:val="0"/>
              <w:autoSpaceDE/>
              <w:autoSpaceDN/>
              <w:bidi w:val="0"/>
              <w:snapToGrid w:val="0"/>
              <w:spacing w:before="79" w:beforeLines="25" w:after="79" w:afterLines="25"/>
              <w:jc w:val="both"/>
              <w:textAlignment w:val="top"/>
              <w:rPr>
                <w:rFonts w:ascii="Times New Roman" w:hAnsi="Times New Roman" w:eastAsia="宋体" w:cs="Times New Roman"/>
                <w:sz w:val="21"/>
                <w:szCs w:val="21"/>
              </w:rPr>
            </w:pPr>
            <w:r>
              <w:rPr>
                <w:rFonts w:hint="eastAsia" w:ascii="Times New Roman" w:hAnsi="Times New Roman" w:eastAsia="宋体" w:cs="Times New Roman"/>
                <w:sz w:val="21"/>
                <w:szCs w:val="21"/>
              </w:rPr>
              <w:t>汽车型式认证与飞行器适航审定在飞行汽车产品取证过程中的融合探索</w:t>
            </w:r>
          </w:p>
        </w:tc>
        <w:tc>
          <w:tcPr>
            <w:tcW w:w="5943" w:type="dxa"/>
            <w:shd w:val="clear" w:color="auto" w:fill="auto"/>
            <w:tcMar>
              <w:left w:w="28" w:type="dxa"/>
              <w:right w:w="28" w:type="dxa"/>
            </w:tcMar>
            <w:vAlign w:val="center"/>
          </w:tcPr>
          <w:p w14:paraId="120F4687">
            <w:pPr>
              <w:keepNext w:val="0"/>
              <w:keepLines w:val="0"/>
              <w:widowControl/>
              <w:suppressLineNumbers w:val="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当前汽车与航空器分属不同监管部门管理，各自建立了独立的认证体系、测试标准及审批流程，两套体系间缺乏互认机制。针对兼具地面行驶与空中飞行功能的飞行汽车产品，需依据两套管理体系，同时完成汽车型式认证与航空器适航审定的取证工作，难度大，周期长。本课题旨在探索汽车与航空器双重属性的技术标准融合路径，研究适用于飞行汽车的复合型认证体系；分析动力系统（如电动/混动能源）、飞行控制系统等核心模块在两类认证中的差异，提出协调方案；研究国内外现行法规空白，提出适应飞行汽车特性的适航审定与型式认证协同机制建议。</w:t>
            </w:r>
          </w:p>
        </w:tc>
        <w:tc>
          <w:tcPr>
            <w:tcW w:w="4527" w:type="dxa"/>
            <w:shd w:val="clear" w:color="auto" w:fill="auto"/>
            <w:tcMar>
              <w:left w:w="28" w:type="dxa"/>
              <w:right w:w="28" w:type="dxa"/>
            </w:tcMar>
            <w:vAlign w:val="center"/>
          </w:tcPr>
          <w:p w14:paraId="419D71D3">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1.完成汽车型式认证与飞行器适航审定在飞行汽车产品取证过程中的融合探索报告，报告至少包含以下内容：</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（1）汽车与航空器在认证体系、测试标准、审批流程上的分析和研究；</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（2）汽车和航空器互通共用系统的试验标准、认证差异的分析和研究；</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（3）提出飞行汽车跨领域认证框架方案；</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（4）框架方案支持汽车型式认证和航空器适航审定两个方面工作</w:t>
            </w:r>
            <w:r>
              <w:rPr>
                <w:rFonts w:hint="eastAsia"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2.在《中国汽车》期刊上发表1篇论文。</w:t>
            </w:r>
          </w:p>
        </w:tc>
        <w:tc>
          <w:tcPr>
            <w:tcW w:w="270" w:type="pct"/>
            <w:shd w:val="clear" w:color="auto" w:fill="auto"/>
            <w:tcMar>
              <w:left w:w="28" w:type="dxa"/>
              <w:right w:w="28" w:type="dxa"/>
            </w:tcMar>
            <w:vAlign w:val="center"/>
          </w:tcPr>
          <w:p w14:paraId="2CE24ED2">
            <w:pPr>
              <w:keepNext w:val="0"/>
              <w:keepLines w:val="0"/>
              <w:pageBreakBefore w:val="0"/>
              <w:widowControl/>
              <w:suppressLineNumbers w:val="0"/>
              <w:kinsoku/>
              <w:wordWrap/>
              <w:overflowPunct/>
              <w:topLinePunct w:val="0"/>
              <w:autoSpaceDE/>
              <w:autoSpaceDN/>
              <w:bidi w:val="0"/>
              <w:snapToGrid w:val="0"/>
              <w:spacing w:before="79" w:beforeLines="25" w:after="79" w:afterLines="25"/>
              <w:jc w:val="center"/>
              <w:textAlignment w:val="top"/>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w:t>
            </w:r>
          </w:p>
        </w:tc>
      </w:tr>
      <w:tr w14:paraId="2C9FE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3" w:type="pct"/>
            <w:shd w:val="clear" w:color="auto" w:fill="auto"/>
            <w:tcMar>
              <w:left w:w="28" w:type="dxa"/>
              <w:right w:w="28" w:type="dxa"/>
            </w:tcMar>
            <w:vAlign w:val="center"/>
          </w:tcPr>
          <w:p w14:paraId="32A1A5E1">
            <w:pPr>
              <w:pStyle w:val="14"/>
              <w:keepNext w:val="0"/>
              <w:keepLines w:val="0"/>
              <w:pageBreakBefore w:val="0"/>
              <w:widowControl w:val="0"/>
              <w:numPr>
                <w:ilvl w:val="0"/>
                <w:numId w:val="0"/>
              </w:numPr>
              <w:kinsoku/>
              <w:wordWrap/>
              <w:overflowPunct/>
              <w:topLinePunct w:val="0"/>
              <w:autoSpaceDE/>
              <w:autoSpaceDN/>
              <w:bidi w:val="0"/>
              <w:adjustRightInd w:val="0"/>
              <w:snapToGrid w:val="0"/>
              <w:spacing w:before="79" w:beforeLines="25" w:after="79" w:afterLines="25"/>
              <w:ind w:left="0" w:leftChars="0" w:firstLine="0" w:firstLineChars="0"/>
              <w:jc w:val="center"/>
              <w:textAlignment w:val="auto"/>
              <w:rPr>
                <w:rFonts w:ascii="Times New Roman" w:hAnsi="Times New Roman" w:eastAsia="宋体" w:cs="Times New Roman"/>
                <w:sz w:val="21"/>
                <w:szCs w:val="21"/>
              </w:rPr>
            </w:pPr>
            <w:r>
              <w:rPr>
                <w:rFonts w:hint="default" w:ascii="Times New Roman" w:hAnsi="Times New Roman" w:eastAsia="宋体" w:cs="Times New Roman"/>
                <w:kern w:val="2"/>
                <w:sz w:val="21"/>
                <w:szCs w:val="21"/>
                <w:lang w:val="en-US" w:eastAsia="zh-CN" w:bidi="ar-SA"/>
              </w:rPr>
              <w:t>5</w:t>
            </w:r>
          </w:p>
        </w:tc>
        <w:tc>
          <w:tcPr>
            <w:tcW w:w="202" w:type="pct"/>
            <w:tcMar>
              <w:left w:w="28" w:type="dxa"/>
              <w:right w:w="28" w:type="dxa"/>
            </w:tcMar>
            <w:vAlign w:val="center"/>
          </w:tcPr>
          <w:p w14:paraId="4C040C1A">
            <w:pPr>
              <w:keepNext w:val="0"/>
              <w:keepLines w:val="0"/>
              <w:pageBreakBefore w:val="0"/>
              <w:widowControl/>
              <w:suppressLineNumbers w:val="0"/>
              <w:kinsoku/>
              <w:wordWrap/>
              <w:overflowPunct/>
              <w:topLinePunct w:val="0"/>
              <w:autoSpaceDE/>
              <w:autoSpaceDN/>
              <w:bidi w:val="0"/>
              <w:snapToGrid w:val="0"/>
              <w:spacing w:before="79" w:beforeLines="25" w:after="79" w:afterLines="25"/>
              <w:jc w:val="left"/>
              <w:textAlignment w:val="top"/>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汽车安全</w:t>
            </w:r>
          </w:p>
        </w:tc>
        <w:tc>
          <w:tcPr>
            <w:tcW w:w="657" w:type="pct"/>
            <w:shd w:val="clear" w:color="auto" w:fill="auto"/>
            <w:tcMar>
              <w:left w:w="28" w:type="dxa"/>
              <w:right w:w="28" w:type="dxa"/>
            </w:tcMar>
            <w:vAlign w:val="center"/>
          </w:tcPr>
          <w:p w14:paraId="2C1C14F1">
            <w:pPr>
              <w:keepNext w:val="0"/>
              <w:keepLines w:val="0"/>
              <w:pageBreakBefore w:val="0"/>
              <w:widowControl/>
              <w:suppressLineNumbers w:val="0"/>
              <w:kinsoku/>
              <w:wordWrap/>
              <w:overflowPunct/>
              <w:topLinePunct w:val="0"/>
              <w:autoSpaceDE/>
              <w:autoSpaceDN/>
              <w:bidi w:val="0"/>
              <w:snapToGrid w:val="0"/>
              <w:spacing w:before="79" w:beforeLines="25" w:after="79" w:afterLines="25"/>
              <w:jc w:val="both"/>
              <w:textAlignment w:val="top"/>
              <w:rPr>
                <w:rFonts w:hint="eastAsia"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汽车零重力座姿乘员伤害保护及测评方法研究</w:t>
            </w:r>
          </w:p>
        </w:tc>
        <w:tc>
          <w:tcPr>
            <w:tcW w:w="5943" w:type="dxa"/>
            <w:shd w:val="clear" w:color="auto" w:fill="auto"/>
            <w:tcMar>
              <w:left w:w="28" w:type="dxa"/>
              <w:right w:w="28" w:type="dxa"/>
            </w:tcMar>
            <w:vAlign w:val="center"/>
          </w:tcPr>
          <w:p w14:paraId="7D3D1D9A">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智能化、网联化的不断发展，推动汽车座椅向更舒适、更智能发展，衍生了汽车座椅新产品形态，为最大限度的满足用户体验的需求，车企陆续推出了搭载“零重力座椅”创新产品的新车型。随着零重力座椅产品和技术的发展，企业在零重力座椅产品开发、验证过程中也面临着一些挑战，包括产品定义缺失、行车状态下产品的安全性规范缺失、产品可靠性和舒适性研发验证规范缺失、部分项目检验工具缺失等，亟需开展针对零重力座姿乘员伤害保护及其测评方法研究，以进一步规范和引领汽车零重力座椅技术及产业发展。</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虽然零重力座椅可以大幅提高舒适度，但由于与普通座椅不同，在行车安全性方面存在较大问题。目前，由于零重力座椅尚未有统一的标准法规，如何保证驾乘人员安全的保护措施仍然是由各相关厂家自行配置。“缺乏制造及安全保护配置的相关强制性标准法规，使零重力座椅仍处于法规的‘灰色地带’。例如，在驾乘人员“躺平”的状态下，一旦车辆发生碰撞事故，乘员平躺与坐姿的着力点是有区别的。对此，目前各厂家的解决方案也不尽相同，亟需开展汽车零重力座姿乘员伤害保护及其测评方法研究。</w:t>
            </w:r>
          </w:p>
        </w:tc>
        <w:tc>
          <w:tcPr>
            <w:tcW w:w="4527" w:type="dxa"/>
            <w:shd w:val="clear" w:color="auto" w:fill="auto"/>
            <w:tcMar>
              <w:left w:w="28" w:type="dxa"/>
              <w:right w:w="28" w:type="dxa"/>
            </w:tcMar>
            <w:vAlign w:val="center"/>
          </w:tcPr>
          <w:p w14:paraId="0F3ECEDE">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1.完成汽车零重力座椅乘员伤害保护及测评方法标准化研究报告，报告至少包含以下内容：</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（1）零重力座椅技术研究；</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（2）零重力坐姿乘员安全性研究；</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（3）提出零重力坐姿乘员安全性测评指标不少于3项</w:t>
            </w:r>
            <w:r>
              <w:rPr>
                <w:rFonts w:hint="eastAsia"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2.至少在《中国汽车》期刊上发表1篇论文。</w:t>
            </w:r>
          </w:p>
        </w:tc>
        <w:tc>
          <w:tcPr>
            <w:tcW w:w="270" w:type="pct"/>
            <w:shd w:val="clear" w:color="auto" w:fill="auto"/>
            <w:tcMar>
              <w:left w:w="28" w:type="dxa"/>
              <w:right w:w="28" w:type="dxa"/>
            </w:tcMar>
            <w:vAlign w:val="center"/>
          </w:tcPr>
          <w:p w14:paraId="2456B88E">
            <w:pPr>
              <w:keepNext w:val="0"/>
              <w:keepLines w:val="0"/>
              <w:pageBreakBefore w:val="0"/>
              <w:widowControl/>
              <w:suppressLineNumbers w:val="0"/>
              <w:kinsoku/>
              <w:wordWrap/>
              <w:overflowPunct/>
              <w:topLinePunct w:val="0"/>
              <w:autoSpaceDE/>
              <w:autoSpaceDN/>
              <w:bidi w:val="0"/>
              <w:snapToGrid w:val="0"/>
              <w:spacing w:before="79" w:beforeLines="25" w:after="79" w:afterLines="25"/>
              <w:jc w:val="center"/>
              <w:textAlignment w:val="top"/>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w:t>
            </w:r>
          </w:p>
        </w:tc>
      </w:tr>
      <w:tr w14:paraId="6AA14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3" w:type="pct"/>
            <w:shd w:val="clear" w:color="auto" w:fill="auto"/>
            <w:tcMar>
              <w:left w:w="28" w:type="dxa"/>
              <w:right w:w="28" w:type="dxa"/>
            </w:tcMar>
            <w:vAlign w:val="center"/>
          </w:tcPr>
          <w:p w14:paraId="771FA359">
            <w:pPr>
              <w:pStyle w:val="14"/>
              <w:keepNext w:val="0"/>
              <w:keepLines w:val="0"/>
              <w:pageBreakBefore w:val="0"/>
              <w:widowControl w:val="0"/>
              <w:numPr>
                <w:ilvl w:val="0"/>
                <w:numId w:val="0"/>
              </w:numPr>
              <w:kinsoku/>
              <w:wordWrap/>
              <w:overflowPunct/>
              <w:topLinePunct w:val="0"/>
              <w:autoSpaceDE/>
              <w:autoSpaceDN/>
              <w:bidi w:val="0"/>
              <w:adjustRightInd w:val="0"/>
              <w:snapToGrid w:val="0"/>
              <w:spacing w:before="79" w:beforeLines="25" w:after="79" w:afterLines="25"/>
              <w:ind w:left="0" w:leftChars="0" w:firstLine="0" w:firstLineChars="0"/>
              <w:jc w:val="center"/>
              <w:textAlignment w:val="auto"/>
              <w:rPr>
                <w:rFonts w:ascii="Times New Roman" w:hAnsi="Times New Roman" w:eastAsia="宋体" w:cs="Times New Roman"/>
                <w:sz w:val="21"/>
                <w:szCs w:val="21"/>
              </w:rPr>
            </w:pPr>
            <w:r>
              <w:rPr>
                <w:rFonts w:hint="default" w:ascii="Times New Roman" w:hAnsi="Times New Roman" w:eastAsia="宋体" w:cs="Times New Roman"/>
                <w:kern w:val="2"/>
                <w:sz w:val="21"/>
                <w:szCs w:val="21"/>
                <w:lang w:val="en-US" w:eastAsia="zh-CN" w:bidi="ar-SA"/>
              </w:rPr>
              <w:t>6</w:t>
            </w:r>
          </w:p>
        </w:tc>
        <w:tc>
          <w:tcPr>
            <w:tcW w:w="202" w:type="pct"/>
            <w:tcMar>
              <w:left w:w="28" w:type="dxa"/>
              <w:right w:w="28" w:type="dxa"/>
            </w:tcMar>
            <w:vAlign w:val="center"/>
          </w:tcPr>
          <w:p w14:paraId="7947B274">
            <w:pPr>
              <w:keepNext w:val="0"/>
              <w:keepLines w:val="0"/>
              <w:pageBreakBefore w:val="0"/>
              <w:widowControl/>
              <w:suppressLineNumbers w:val="0"/>
              <w:kinsoku/>
              <w:wordWrap/>
              <w:overflowPunct/>
              <w:topLinePunct w:val="0"/>
              <w:autoSpaceDE/>
              <w:autoSpaceDN/>
              <w:bidi w:val="0"/>
              <w:snapToGrid w:val="0"/>
              <w:spacing w:before="79" w:beforeLines="25" w:after="79" w:afterLines="25"/>
              <w:jc w:val="left"/>
              <w:textAlignment w:val="top"/>
              <w:rPr>
                <w:rFonts w:ascii="Times New Roman" w:hAnsi="Times New Roman" w:eastAsia="宋体" w:cs="微软雅黑"/>
                <w:i w:val="0"/>
                <w:iCs w:val="0"/>
                <w:color w:val="000000"/>
                <w:kern w:val="2"/>
                <w:sz w:val="21"/>
                <w:szCs w:val="21"/>
                <w:u w:val="none"/>
                <w:lang w:val="en-US" w:eastAsia="zh-CN" w:bidi="ar-SA"/>
              </w:rPr>
            </w:pPr>
            <w:r>
              <w:rPr>
                <w:rFonts w:hint="eastAsia" w:ascii="Times New Roman" w:hAnsi="Times New Roman" w:eastAsia="宋体" w:cs="微软雅黑"/>
                <w:i w:val="0"/>
                <w:iCs w:val="0"/>
                <w:color w:val="000000"/>
                <w:kern w:val="2"/>
                <w:sz w:val="21"/>
                <w:szCs w:val="21"/>
                <w:u w:val="none"/>
                <w:lang w:val="en-US" w:eastAsia="zh-CN" w:bidi="ar-SA"/>
              </w:rPr>
              <w:t>智能网联汽车</w:t>
            </w:r>
          </w:p>
        </w:tc>
        <w:tc>
          <w:tcPr>
            <w:tcW w:w="657" w:type="pct"/>
            <w:shd w:val="clear" w:color="auto" w:fill="auto"/>
            <w:tcMar>
              <w:left w:w="28" w:type="dxa"/>
              <w:right w:w="28" w:type="dxa"/>
            </w:tcMar>
            <w:vAlign w:val="center"/>
          </w:tcPr>
          <w:p w14:paraId="24F47774">
            <w:pPr>
              <w:keepNext w:val="0"/>
              <w:keepLines w:val="0"/>
              <w:pageBreakBefore w:val="0"/>
              <w:widowControl/>
              <w:suppressLineNumbers w:val="0"/>
              <w:kinsoku/>
              <w:wordWrap/>
              <w:overflowPunct/>
              <w:topLinePunct w:val="0"/>
              <w:autoSpaceDE/>
              <w:autoSpaceDN/>
              <w:bidi w:val="0"/>
              <w:snapToGrid w:val="0"/>
              <w:spacing w:before="79" w:beforeLines="25" w:after="79" w:afterLines="25"/>
              <w:jc w:val="both"/>
              <w:textAlignment w:val="top"/>
              <w:rPr>
                <w:rFonts w:hint="eastAsia"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智能网联汽车驾驶自动化系统安全漏洞挖掘、分析及测试技术研究</w:t>
            </w:r>
          </w:p>
        </w:tc>
        <w:tc>
          <w:tcPr>
            <w:tcW w:w="5943" w:type="dxa"/>
            <w:shd w:val="clear" w:color="auto" w:fill="auto"/>
            <w:tcMar>
              <w:left w:w="28" w:type="dxa"/>
              <w:right w:w="28" w:type="dxa"/>
            </w:tcMar>
            <w:vAlign w:val="center"/>
          </w:tcPr>
          <w:p w14:paraId="4733FD13">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针对智能网联汽车驾驶自动化系统安全的需求，建立起车用人工智能系统内存错误类漏洞的基础知识库，结合自动化漏洞复现与二进制漏洞利用技术，实现漏洞危害类型（如代码执行、权限提升）与危害程度的量化评估；构建智能驾驶场景仿真平台，模拟车辆在复杂路况、极端环境下的行为反应，测试系统抗干扰能力，提出基于仿真场景生成的测试技术和生成高质量测试样例技术，提升测试效率；建立大模型增强的复杂程序语义逆向理解技术，构建一套覆盖漏洞分析、危害评估、动态测试与攻击模拟的完整测试验证体系，测试智能网联汽车驾驶自动化系统脆弱性、漏洞风险程度及可利用的危害程度。</w:t>
            </w:r>
          </w:p>
        </w:tc>
        <w:tc>
          <w:tcPr>
            <w:tcW w:w="4527" w:type="dxa"/>
            <w:shd w:val="clear" w:color="auto" w:fill="auto"/>
            <w:tcMar>
              <w:left w:w="28" w:type="dxa"/>
              <w:right w:w="28" w:type="dxa"/>
            </w:tcMar>
            <w:vAlign w:val="center"/>
          </w:tcPr>
          <w:p w14:paraId="332D9427">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r>
              <w:rPr>
                <w:rStyle w:val="25"/>
                <w:rFonts w:hint="default" w:ascii="Times New Roman" w:hAnsi="Times New Roman" w:eastAsia="宋体" w:cs="Times New Roman"/>
                <w:sz w:val="21"/>
                <w:szCs w:val="21"/>
                <w:lang w:val="en-US" w:eastAsia="zh-CN" w:bidi="ar"/>
              </w:rPr>
              <w:t>完成智能网联汽车信息安全漏洞分析研究报告，报告至少包含以下内容：</w:t>
            </w:r>
            <w:r>
              <w:rPr>
                <w:rStyle w:val="25"/>
                <w:rFonts w:hint="default" w:ascii="Times New Roman" w:hAnsi="Times New Roman" w:eastAsia="宋体" w:cs="Times New Roman"/>
                <w:sz w:val="21"/>
                <w:szCs w:val="21"/>
                <w:lang w:val="en-US" w:eastAsia="zh-CN" w:bidi="ar"/>
              </w:rPr>
              <w:br w:type="textWrapping"/>
            </w:r>
            <w:r>
              <w:rPr>
                <w:rStyle w:val="25"/>
                <w:rFonts w:hint="default" w:ascii="Times New Roman" w:hAnsi="Times New Roman" w:eastAsia="宋体" w:cs="Times New Roman"/>
                <w:sz w:val="21"/>
                <w:szCs w:val="21"/>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1</w:t>
            </w:r>
            <w:r>
              <w:rPr>
                <w:rStyle w:val="25"/>
                <w:rFonts w:hint="default" w:ascii="Times New Roman" w:hAnsi="Times New Roman" w:eastAsia="宋体" w:cs="Times New Roman"/>
                <w:sz w:val="21"/>
                <w:szCs w:val="21"/>
                <w:lang w:val="en-US" w:eastAsia="zh-CN" w:bidi="ar"/>
              </w:rPr>
              <w:t>）智能网联汽车信息安全漏洞研究</w:t>
            </w:r>
            <w:r>
              <w:rPr>
                <w:rStyle w:val="25"/>
                <w:rFonts w:hint="default" w:ascii="Times New Roman" w:hAnsi="Times New Roman" w:eastAsia="宋体" w:cs="Times New Roman"/>
                <w:sz w:val="21"/>
                <w:szCs w:val="21"/>
                <w:lang w:val="en-US" w:eastAsia="zh-CN" w:bidi="ar"/>
              </w:rPr>
              <w:br w:type="textWrapping"/>
            </w:r>
            <w:r>
              <w:rPr>
                <w:rStyle w:val="25"/>
                <w:rFonts w:hint="default" w:ascii="Times New Roman" w:hAnsi="Times New Roman" w:eastAsia="宋体" w:cs="Times New Roman"/>
                <w:sz w:val="21"/>
                <w:szCs w:val="21"/>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2</w:t>
            </w:r>
            <w:r>
              <w:rPr>
                <w:rStyle w:val="25"/>
                <w:rFonts w:hint="default" w:ascii="Times New Roman" w:hAnsi="Times New Roman" w:eastAsia="宋体" w:cs="Times New Roman"/>
                <w:sz w:val="21"/>
                <w:szCs w:val="21"/>
                <w:lang w:val="en-US" w:eastAsia="zh-CN" w:bidi="ar"/>
              </w:rPr>
              <w:t>）自动驾驶系统漏洞挖掘系统研究；</w:t>
            </w:r>
            <w:r>
              <w:rPr>
                <w:rStyle w:val="25"/>
                <w:rFonts w:hint="default" w:ascii="Times New Roman" w:hAnsi="Times New Roman" w:eastAsia="宋体" w:cs="Times New Roman"/>
                <w:sz w:val="21"/>
                <w:szCs w:val="21"/>
                <w:lang w:val="en-US" w:eastAsia="zh-CN" w:bidi="ar"/>
              </w:rPr>
              <w:br w:type="textWrapping"/>
            </w:r>
            <w:r>
              <w:rPr>
                <w:rStyle w:val="25"/>
                <w:rFonts w:hint="default" w:ascii="Times New Roman" w:hAnsi="Times New Roman" w:eastAsia="宋体" w:cs="Times New Roman"/>
                <w:sz w:val="21"/>
                <w:szCs w:val="21"/>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3</w:t>
            </w:r>
            <w:r>
              <w:rPr>
                <w:rStyle w:val="25"/>
                <w:rFonts w:hint="default" w:ascii="Times New Roman" w:hAnsi="Times New Roman" w:eastAsia="宋体" w:cs="Times New Roman"/>
                <w:sz w:val="21"/>
                <w:szCs w:val="21"/>
                <w:lang w:val="en-US" w:eastAsia="zh-CN" w:bidi="ar"/>
              </w:rPr>
              <w:t>）挖掘系统安全漏洞不少于</w:t>
            </w:r>
            <w:r>
              <w:rPr>
                <w:rFonts w:hint="default" w:ascii="Times New Roman" w:hAnsi="Times New Roman" w:eastAsia="宋体" w:cs="Times New Roman"/>
                <w:i w:val="0"/>
                <w:iCs w:val="0"/>
                <w:color w:val="000000"/>
                <w:kern w:val="0"/>
                <w:sz w:val="21"/>
                <w:szCs w:val="21"/>
                <w:u w:val="none"/>
                <w:lang w:val="en-US" w:eastAsia="zh-CN" w:bidi="ar"/>
              </w:rPr>
              <w:t>5</w:t>
            </w:r>
            <w:r>
              <w:rPr>
                <w:rStyle w:val="25"/>
                <w:rFonts w:hint="default" w:ascii="Times New Roman" w:hAnsi="Times New Roman" w:eastAsia="宋体" w:cs="Times New Roman"/>
                <w:sz w:val="21"/>
                <w:szCs w:val="21"/>
                <w:lang w:val="en-US" w:eastAsia="zh-CN" w:bidi="ar"/>
              </w:rPr>
              <w:t>项，且被</w:t>
            </w:r>
            <w:r>
              <w:rPr>
                <w:rFonts w:hint="default" w:ascii="Times New Roman" w:hAnsi="Times New Roman" w:eastAsia="宋体" w:cs="Times New Roman"/>
                <w:i w:val="0"/>
                <w:iCs w:val="0"/>
                <w:color w:val="000000"/>
                <w:kern w:val="0"/>
                <w:sz w:val="21"/>
                <w:szCs w:val="21"/>
                <w:u w:val="none"/>
                <w:lang w:val="en-US" w:eastAsia="zh-CN" w:bidi="ar"/>
              </w:rPr>
              <w:t>CVE</w:t>
            </w:r>
            <w:r>
              <w:rPr>
                <w:rStyle w:val="25"/>
                <w:rFonts w:hint="default" w:ascii="Times New Roman" w:hAnsi="Times New Roman" w:eastAsia="宋体" w:cs="Times New Roman"/>
                <w:sz w:val="21"/>
                <w:szCs w:val="21"/>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CNVD</w:t>
            </w:r>
            <w:r>
              <w:rPr>
                <w:rStyle w:val="25"/>
                <w:rFonts w:hint="default" w:ascii="Times New Roman" w:hAnsi="Times New Roman" w:eastAsia="宋体" w:cs="Times New Roman"/>
                <w:sz w:val="21"/>
                <w:szCs w:val="21"/>
                <w:lang w:val="en-US" w:eastAsia="zh-CN" w:bidi="ar"/>
              </w:rPr>
              <w:t>等国内外权威漏洞库收录</w:t>
            </w:r>
            <w:r>
              <w:rPr>
                <w:rStyle w:val="25"/>
                <w:rFonts w:hint="eastAsia" w:ascii="Times New Roman" w:hAnsi="Times New Roman" w:eastAsia="宋体" w:cs="Times New Roman"/>
                <w:sz w:val="21"/>
                <w:szCs w:val="21"/>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2.</w:t>
            </w:r>
            <w:r>
              <w:rPr>
                <w:rStyle w:val="25"/>
                <w:rFonts w:hint="default" w:ascii="Times New Roman" w:hAnsi="Times New Roman" w:eastAsia="宋体" w:cs="Times New Roman"/>
                <w:sz w:val="21"/>
                <w:szCs w:val="21"/>
                <w:lang w:val="en-US" w:eastAsia="zh-CN" w:bidi="ar"/>
              </w:rPr>
              <w:t>至少在《中国汽车》期刊上发表</w:t>
            </w:r>
            <w:r>
              <w:rPr>
                <w:rFonts w:hint="default" w:ascii="Times New Roman" w:hAnsi="Times New Roman" w:eastAsia="宋体" w:cs="Times New Roman"/>
                <w:i w:val="0"/>
                <w:iCs w:val="0"/>
                <w:color w:val="000000"/>
                <w:kern w:val="0"/>
                <w:sz w:val="21"/>
                <w:szCs w:val="21"/>
                <w:u w:val="none"/>
                <w:lang w:val="en-US" w:eastAsia="zh-CN" w:bidi="ar"/>
              </w:rPr>
              <w:t>1</w:t>
            </w:r>
            <w:r>
              <w:rPr>
                <w:rStyle w:val="25"/>
                <w:rFonts w:hint="default" w:ascii="Times New Roman" w:hAnsi="Times New Roman" w:eastAsia="宋体" w:cs="Times New Roman"/>
                <w:sz w:val="21"/>
                <w:szCs w:val="21"/>
                <w:lang w:val="en-US" w:eastAsia="zh-CN" w:bidi="ar"/>
              </w:rPr>
              <w:t>篇论文。</w:t>
            </w:r>
          </w:p>
        </w:tc>
        <w:tc>
          <w:tcPr>
            <w:tcW w:w="270" w:type="pct"/>
            <w:shd w:val="clear" w:color="auto" w:fill="auto"/>
            <w:tcMar>
              <w:left w:w="28" w:type="dxa"/>
              <w:right w:w="28" w:type="dxa"/>
            </w:tcMar>
            <w:vAlign w:val="center"/>
          </w:tcPr>
          <w:p w14:paraId="4C2B237A">
            <w:pPr>
              <w:keepNext w:val="0"/>
              <w:keepLines w:val="0"/>
              <w:pageBreakBefore w:val="0"/>
              <w:widowControl/>
              <w:suppressLineNumbers w:val="0"/>
              <w:kinsoku/>
              <w:wordWrap/>
              <w:overflowPunct/>
              <w:topLinePunct w:val="0"/>
              <w:autoSpaceDE/>
              <w:autoSpaceDN/>
              <w:bidi w:val="0"/>
              <w:snapToGrid w:val="0"/>
              <w:spacing w:before="79" w:beforeLines="25" w:after="79" w:afterLines="25"/>
              <w:jc w:val="center"/>
              <w:textAlignment w:val="top"/>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w:t>
            </w:r>
          </w:p>
        </w:tc>
      </w:tr>
      <w:tr w14:paraId="4215B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3" w:type="pct"/>
            <w:shd w:val="clear" w:color="auto" w:fill="auto"/>
            <w:tcMar>
              <w:left w:w="28" w:type="dxa"/>
              <w:right w:w="28" w:type="dxa"/>
            </w:tcMar>
            <w:vAlign w:val="center"/>
          </w:tcPr>
          <w:p w14:paraId="20CF6042">
            <w:pPr>
              <w:pStyle w:val="14"/>
              <w:keepNext w:val="0"/>
              <w:keepLines w:val="0"/>
              <w:pageBreakBefore w:val="0"/>
              <w:widowControl w:val="0"/>
              <w:numPr>
                <w:ilvl w:val="0"/>
                <w:numId w:val="0"/>
              </w:numPr>
              <w:kinsoku/>
              <w:wordWrap/>
              <w:overflowPunct/>
              <w:topLinePunct w:val="0"/>
              <w:autoSpaceDE/>
              <w:autoSpaceDN/>
              <w:bidi w:val="0"/>
              <w:adjustRightInd w:val="0"/>
              <w:snapToGrid w:val="0"/>
              <w:spacing w:before="79" w:beforeLines="25" w:after="79" w:afterLines="25"/>
              <w:ind w:left="0" w:leftChars="0" w:firstLine="0" w:firstLineChars="0"/>
              <w:jc w:val="center"/>
              <w:textAlignment w:val="auto"/>
              <w:rPr>
                <w:rFonts w:ascii="Times New Roman" w:hAnsi="Times New Roman" w:eastAsia="宋体" w:cs="Times New Roman"/>
                <w:sz w:val="21"/>
                <w:szCs w:val="21"/>
              </w:rPr>
            </w:pPr>
            <w:r>
              <w:rPr>
                <w:rFonts w:hint="default" w:ascii="Times New Roman" w:hAnsi="Times New Roman" w:eastAsia="宋体" w:cs="Times New Roman"/>
                <w:kern w:val="2"/>
                <w:sz w:val="21"/>
                <w:szCs w:val="21"/>
                <w:lang w:val="en-US" w:eastAsia="zh-CN" w:bidi="ar-SA"/>
              </w:rPr>
              <w:t>7</w:t>
            </w:r>
          </w:p>
        </w:tc>
        <w:tc>
          <w:tcPr>
            <w:tcW w:w="202" w:type="pct"/>
            <w:tcMar>
              <w:left w:w="28" w:type="dxa"/>
              <w:right w:w="28" w:type="dxa"/>
            </w:tcMar>
            <w:vAlign w:val="center"/>
          </w:tcPr>
          <w:p w14:paraId="7D5FCE81">
            <w:pPr>
              <w:keepNext w:val="0"/>
              <w:keepLines w:val="0"/>
              <w:pageBreakBefore w:val="0"/>
              <w:widowControl/>
              <w:suppressLineNumbers w:val="0"/>
              <w:kinsoku/>
              <w:wordWrap/>
              <w:overflowPunct/>
              <w:topLinePunct w:val="0"/>
              <w:autoSpaceDE/>
              <w:autoSpaceDN/>
              <w:bidi w:val="0"/>
              <w:snapToGrid w:val="0"/>
              <w:spacing w:before="79" w:beforeLines="25" w:after="79" w:afterLines="25"/>
              <w:jc w:val="left"/>
              <w:textAlignment w:val="center"/>
              <w:rPr>
                <w:rFonts w:hint="default" w:ascii="Times New Roman" w:hAnsi="Times New Roman" w:eastAsia="宋体" w:cs="微软雅黑"/>
                <w:i w:val="0"/>
                <w:iCs w:val="0"/>
                <w:color w:val="000000"/>
                <w:kern w:val="2"/>
                <w:sz w:val="21"/>
                <w:szCs w:val="21"/>
                <w:u w:val="none"/>
                <w:lang w:val="en-US" w:eastAsia="zh-CN" w:bidi="ar-SA"/>
              </w:rPr>
            </w:pPr>
            <w:r>
              <w:rPr>
                <w:rFonts w:hint="default" w:ascii="Times New Roman" w:hAnsi="Times New Roman" w:eastAsia="宋体" w:cs="微软雅黑"/>
                <w:i w:val="0"/>
                <w:iCs w:val="0"/>
                <w:color w:val="000000"/>
                <w:kern w:val="2"/>
                <w:sz w:val="21"/>
                <w:szCs w:val="21"/>
                <w:u w:val="none"/>
                <w:lang w:val="en-US" w:eastAsia="zh-CN" w:bidi="ar-SA"/>
              </w:rPr>
              <w:t>智能网联汽车</w:t>
            </w:r>
          </w:p>
        </w:tc>
        <w:tc>
          <w:tcPr>
            <w:tcW w:w="657" w:type="pct"/>
            <w:shd w:val="clear" w:color="auto" w:fill="auto"/>
            <w:tcMar>
              <w:left w:w="28" w:type="dxa"/>
              <w:right w:w="28" w:type="dxa"/>
            </w:tcMar>
            <w:vAlign w:val="center"/>
          </w:tcPr>
          <w:p w14:paraId="070BB4A6">
            <w:pPr>
              <w:keepNext w:val="0"/>
              <w:keepLines w:val="0"/>
              <w:pageBreakBefore w:val="0"/>
              <w:widowControl/>
              <w:suppressLineNumbers w:val="0"/>
              <w:kinsoku/>
              <w:wordWrap/>
              <w:overflowPunct/>
              <w:topLinePunct w:val="0"/>
              <w:autoSpaceDE/>
              <w:autoSpaceDN/>
              <w:bidi w:val="0"/>
              <w:snapToGrid w:val="0"/>
              <w:spacing w:before="79" w:beforeLines="25" w:after="79" w:afterLines="25"/>
              <w:jc w:val="both"/>
              <w:textAlignment w:val="top"/>
              <w:rPr>
                <w:rFonts w:hint="eastAsia"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智能网联汽车多模态融合定位技术及标准化研究</w:t>
            </w:r>
          </w:p>
        </w:tc>
        <w:tc>
          <w:tcPr>
            <w:tcW w:w="5943" w:type="dxa"/>
            <w:shd w:val="clear" w:color="auto" w:fill="auto"/>
            <w:tcMar>
              <w:left w:w="28" w:type="dxa"/>
              <w:right w:w="28" w:type="dxa"/>
            </w:tcMar>
            <w:vAlign w:val="center"/>
          </w:tcPr>
          <w:p w14:paraId="0551A1EB">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本项目旨在研究不依赖高精度地图的智能网联汽车多模态融合定位技术，具体包括以下内容：</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面向端到端架构的高精度定位系统功能测试方法研究；构建标准化功能场景库，覆盖L3及以上典型应用场景；多模态融合定位评价体系研究。</w:t>
            </w:r>
          </w:p>
        </w:tc>
        <w:tc>
          <w:tcPr>
            <w:tcW w:w="4527" w:type="dxa"/>
            <w:shd w:val="clear" w:color="auto" w:fill="auto"/>
            <w:tcMar>
              <w:left w:w="28" w:type="dxa"/>
              <w:right w:w="28" w:type="dxa"/>
            </w:tcMar>
            <w:vAlign w:val="center"/>
          </w:tcPr>
          <w:p w14:paraId="310C6086">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完成智能网联汽车多模态融合定位技术及标准化研究报告，包含：</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（1）面向端到端架构的高精度定位系统功能测试方法；</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（2）多模态融合定位评价体系；</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（3）覆盖L3及以上典型应用场景的场景库方案。</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2</w:t>
            </w:r>
            <w:r>
              <w:rPr>
                <w:rFonts w:hint="eastAsia"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在《中国汽车》期刊</w:t>
            </w:r>
            <w:r>
              <w:rPr>
                <w:rFonts w:hint="eastAsia" w:ascii="Times New Roman" w:hAnsi="Times New Roman" w:eastAsia="宋体" w:cs="Times New Roman"/>
                <w:i w:val="0"/>
                <w:iCs w:val="0"/>
                <w:color w:val="000000"/>
                <w:kern w:val="0"/>
                <w:sz w:val="21"/>
                <w:szCs w:val="21"/>
                <w:u w:val="none"/>
                <w:lang w:val="en-US" w:eastAsia="zh-CN" w:bidi="ar"/>
              </w:rPr>
              <w:t>上发表</w:t>
            </w:r>
            <w:r>
              <w:rPr>
                <w:rFonts w:hint="default" w:ascii="Times New Roman" w:hAnsi="Times New Roman" w:eastAsia="宋体" w:cs="Times New Roman"/>
                <w:i w:val="0"/>
                <w:iCs w:val="0"/>
                <w:color w:val="000000"/>
                <w:kern w:val="0"/>
                <w:sz w:val="21"/>
                <w:szCs w:val="21"/>
                <w:u w:val="none"/>
                <w:lang w:val="en-US" w:eastAsia="zh-CN" w:bidi="ar"/>
              </w:rPr>
              <w:t>1篇</w:t>
            </w:r>
            <w:r>
              <w:rPr>
                <w:rFonts w:hint="eastAsia" w:ascii="Times New Roman" w:hAnsi="Times New Roman" w:eastAsia="宋体" w:cs="Times New Roman"/>
                <w:i w:val="0"/>
                <w:iCs w:val="0"/>
                <w:color w:val="000000"/>
                <w:kern w:val="0"/>
                <w:sz w:val="21"/>
                <w:szCs w:val="21"/>
                <w:u w:val="none"/>
                <w:lang w:val="en-US" w:eastAsia="zh-CN" w:bidi="ar"/>
              </w:rPr>
              <w:t>论文、发表1篇EI论文</w:t>
            </w:r>
          </w:p>
        </w:tc>
        <w:tc>
          <w:tcPr>
            <w:tcW w:w="270" w:type="pct"/>
            <w:shd w:val="clear" w:color="auto" w:fill="auto"/>
            <w:tcMar>
              <w:left w:w="28" w:type="dxa"/>
              <w:right w:w="28" w:type="dxa"/>
            </w:tcMar>
            <w:vAlign w:val="center"/>
          </w:tcPr>
          <w:p w14:paraId="31E1E595">
            <w:pPr>
              <w:keepNext w:val="0"/>
              <w:keepLines w:val="0"/>
              <w:pageBreakBefore w:val="0"/>
              <w:widowControl/>
              <w:suppressLineNumbers w:val="0"/>
              <w:kinsoku/>
              <w:wordWrap/>
              <w:overflowPunct/>
              <w:topLinePunct w:val="0"/>
              <w:autoSpaceDE/>
              <w:autoSpaceDN/>
              <w:bidi w:val="0"/>
              <w:snapToGrid w:val="0"/>
              <w:spacing w:before="79" w:beforeLines="25" w:after="79" w:afterLines="25"/>
              <w:jc w:val="center"/>
              <w:textAlignment w:val="top"/>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w:t>
            </w:r>
          </w:p>
        </w:tc>
      </w:tr>
      <w:tr w14:paraId="53F0E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3" w:hRule="atLeast"/>
          <w:jc w:val="center"/>
        </w:trPr>
        <w:tc>
          <w:tcPr>
            <w:tcW w:w="133" w:type="pct"/>
            <w:shd w:val="clear" w:color="auto" w:fill="auto"/>
            <w:tcMar>
              <w:left w:w="28" w:type="dxa"/>
              <w:right w:w="28" w:type="dxa"/>
            </w:tcMar>
            <w:vAlign w:val="center"/>
          </w:tcPr>
          <w:p w14:paraId="34F02345">
            <w:pPr>
              <w:pStyle w:val="14"/>
              <w:keepNext w:val="0"/>
              <w:keepLines w:val="0"/>
              <w:pageBreakBefore w:val="0"/>
              <w:widowControl w:val="0"/>
              <w:numPr>
                <w:ilvl w:val="0"/>
                <w:numId w:val="0"/>
              </w:numPr>
              <w:kinsoku/>
              <w:wordWrap/>
              <w:overflowPunct/>
              <w:topLinePunct w:val="0"/>
              <w:autoSpaceDE/>
              <w:autoSpaceDN/>
              <w:bidi w:val="0"/>
              <w:adjustRightInd w:val="0"/>
              <w:snapToGrid w:val="0"/>
              <w:spacing w:before="79" w:beforeLines="25" w:after="79" w:afterLines="25"/>
              <w:ind w:left="0" w:leftChars="0" w:firstLine="0" w:firstLineChars="0"/>
              <w:jc w:val="center"/>
              <w:textAlignment w:val="auto"/>
              <w:rPr>
                <w:rFonts w:ascii="Times New Roman" w:hAnsi="Times New Roman" w:eastAsia="宋体" w:cs="Times New Roman"/>
                <w:sz w:val="21"/>
                <w:szCs w:val="21"/>
              </w:rPr>
            </w:pPr>
            <w:r>
              <w:rPr>
                <w:rFonts w:hint="default" w:ascii="Times New Roman" w:hAnsi="Times New Roman" w:eastAsia="宋体" w:cs="Times New Roman"/>
                <w:kern w:val="2"/>
                <w:sz w:val="21"/>
                <w:szCs w:val="21"/>
                <w:lang w:val="en-US" w:eastAsia="zh-CN" w:bidi="ar-SA"/>
              </w:rPr>
              <w:t>8</w:t>
            </w:r>
          </w:p>
        </w:tc>
        <w:tc>
          <w:tcPr>
            <w:tcW w:w="202" w:type="pct"/>
            <w:tcMar>
              <w:left w:w="28" w:type="dxa"/>
              <w:right w:w="28" w:type="dxa"/>
            </w:tcMar>
            <w:vAlign w:val="center"/>
          </w:tcPr>
          <w:p w14:paraId="18A1DFF4">
            <w:pPr>
              <w:keepNext w:val="0"/>
              <w:keepLines w:val="0"/>
              <w:pageBreakBefore w:val="0"/>
              <w:widowControl/>
              <w:suppressLineNumbers w:val="0"/>
              <w:kinsoku/>
              <w:wordWrap/>
              <w:overflowPunct/>
              <w:topLinePunct w:val="0"/>
              <w:autoSpaceDE/>
              <w:autoSpaceDN/>
              <w:bidi w:val="0"/>
              <w:snapToGrid w:val="0"/>
              <w:spacing w:before="79" w:beforeLines="25" w:after="79" w:afterLines="25"/>
              <w:jc w:val="left"/>
              <w:textAlignment w:val="center"/>
              <w:rPr>
                <w:rFonts w:hint="default" w:ascii="Times New Roman" w:hAnsi="Times New Roman" w:eastAsia="宋体" w:cs="微软雅黑"/>
                <w:i w:val="0"/>
                <w:iCs w:val="0"/>
                <w:color w:val="000000"/>
                <w:kern w:val="2"/>
                <w:sz w:val="21"/>
                <w:szCs w:val="21"/>
                <w:u w:val="none"/>
                <w:lang w:val="en-US" w:eastAsia="zh-CN" w:bidi="ar-SA"/>
              </w:rPr>
            </w:pPr>
            <w:r>
              <w:rPr>
                <w:rFonts w:hint="eastAsia" w:ascii="Times New Roman" w:hAnsi="Times New Roman" w:eastAsia="宋体" w:cs="微软雅黑"/>
                <w:i w:val="0"/>
                <w:iCs w:val="0"/>
                <w:color w:val="000000"/>
                <w:kern w:val="2"/>
                <w:sz w:val="21"/>
                <w:szCs w:val="21"/>
                <w:u w:val="none"/>
                <w:lang w:val="en-US" w:eastAsia="zh-CN" w:bidi="ar-SA"/>
              </w:rPr>
              <w:t>绿色低碳</w:t>
            </w:r>
          </w:p>
        </w:tc>
        <w:tc>
          <w:tcPr>
            <w:tcW w:w="657" w:type="pct"/>
            <w:shd w:val="clear" w:color="auto" w:fill="auto"/>
            <w:tcMar>
              <w:left w:w="28" w:type="dxa"/>
              <w:right w:w="28" w:type="dxa"/>
            </w:tcMar>
            <w:vAlign w:val="center"/>
          </w:tcPr>
          <w:p w14:paraId="2A74036C">
            <w:pPr>
              <w:keepNext w:val="0"/>
              <w:keepLines w:val="0"/>
              <w:pageBreakBefore w:val="0"/>
              <w:widowControl/>
              <w:suppressLineNumbers w:val="0"/>
              <w:kinsoku/>
              <w:wordWrap/>
              <w:overflowPunct/>
              <w:topLinePunct w:val="0"/>
              <w:autoSpaceDE/>
              <w:autoSpaceDN/>
              <w:bidi w:val="0"/>
              <w:snapToGrid w:val="0"/>
              <w:spacing w:before="79" w:beforeLines="25" w:after="79" w:afterLines="25"/>
              <w:jc w:val="both"/>
              <w:textAlignment w:val="top"/>
              <w:rPr>
                <w:rFonts w:hint="eastAsia"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报废汽车再生塑料闭环应用全链条追溯及验证方法研究</w:t>
            </w:r>
          </w:p>
        </w:tc>
        <w:tc>
          <w:tcPr>
            <w:tcW w:w="5943" w:type="dxa"/>
            <w:shd w:val="clear" w:color="auto" w:fill="auto"/>
            <w:tcMar>
              <w:left w:w="28" w:type="dxa"/>
              <w:right w:w="28" w:type="dxa"/>
            </w:tcMar>
            <w:vAlign w:val="center"/>
          </w:tcPr>
          <w:p w14:paraId="342A0FAE">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随着汽车行业绿色发展推进，报废汽车再生塑料的循环利用成为资源回收的重要方向，但目前全链条存在诸多问题：从报废汽车拆解获取再生塑料，到加工再利用直至终端产品应用，各环节缺乏统一规范的追溯体系，难以确保再生塑料来源可靠、质量可控；同时，再生塑料应用后的效果缺乏有效验证手段，影响市场对再生塑料产品的信任度与接受度。本项目将深入剖析报废汽车再生塑料闭环应用全链条的各个环节，研究适用于不同阶段的追溯技术与方法，构建从原料回收、加工生产到产品流通、使用的全流程追溯体系；建立科学的再生塑料性能、安全性等方面的验证标准与方法，形成一套完整的报废汽车再生塑料闭环应用全链条追溯及验证标准化体系，推动报废汽车再生塑料产业规范化、高质量发展。</w:t>
            </w:r>
          </w:p>
        </w:tc>
        <w:tc>
          <w:tcPr>
            <w:tcW w:w="4527" w:type="dxa"/>
            <w:shd w:val="clear" w:color="auto" w:fill="auto"/>
            <w:tcMar>
              <w:left w:w="28" w:type="dxa"/>
              <w:right w:w="28" w:type="dxa"/>
            </w:tcMar>
            <w:vAlign w:val="center"/>
          </w:tcPr>
          <w:p w14:paraId="0AB973C6">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1.完成报废汽车再生塑料闭环应用全链条追溯及验证方法研究报告，报告至少包含以下内容：</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（1）报废汽车再生塑料全链条各环节追溯技术与方法研究；</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（2）再生塑料性能、安全性等方面的验证指标与方法研究；</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（3）报废汽车再生塑料碳足迹核算方法与再生材料添加比例鉴定方法。</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2.在《中国汽车》期刊上发表1篇论文。</w:t>
            </w:r>
          </w:p>
        </w:tc>
        <w:tc>
          <w:tcPr>
            <w:tcW w:w="270" w:type="pct"/>
            <w:shd w:val="clear" w:color="auto" w:fill="auto"/>
            <w:tcMar>
              <w:left w:w="28" w:type="dxa"/>
              <w:right w:w="28" w:type="dxa"/>
            </w:tcMar>
            <w:vAlign w:val="center"/>
          </w:tcPr>
          <w:p w14:paraId="01574E59">
            <w:pPr>
              <w:keepNext w:val="0"/>
              <w:keepLines w:val="0"/>
              <w:pageBreakBefore w:val="0"/>
              <w:widowControl/>
              <w:suppressLineNumbers w:val="0"/>
              <w:kinsoku/>
              <w:wordWrap/>
              <w:overflowPunct/>
              <w:topLinePunct w:val="0"/>
              <w:autoSpaceDE/>
              <w:autoSpaceDN/>
              <w:bidi w:val="0"/>
              <w:snapToGrid w:val="0"/>
              <w:spacing w:before="79" w:beforeLines="25" w:after="79" w:afterLines="25"/>
              <w:jc w:val="center"/>
              <w:textAlignment w:val="top"/>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w:t>
            </w:r>
          </w:p>
        </w:tc>
      </w:tr>
      <w:tr w14:paraId="3FE84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3" w:type="pct"/>
            <w:shd w:val="clear" w:color="auto" w:fill="auto"/>
            <w:tcMar>
              <w:left w:w="28" w:type="dxa"/>
              <w:right w:w="28" w:type="dxa"/>
            </w:tcMar>
            <w:vAlign w:val="center"/>
          </w:tcPr>
          <w:p w14:paraId="4E4B8398">
            <w:pPr>
              <w:pStyle w:val="14"/>
              <w:keepNext w:val="0"/>
              <w:keepLines w:val="0"/>
              <w:pageBreakBefore w:val="0"/>
              <w:widowControl w:val="0"/>
              <w:numPr>
                <w:ilvl w:val="0"/>
                <w:numId w:val="0"/>
              </w:numPr>
              <w:kinsoku/>
              <w:wordWrap/>
              <w:overflowPunct/>
              <w:topLinePunct w:val="0"/>
              <w:autoSpaceDE/>
              <w:autoSpaceDN/>
              <w:bidi w:val="0"/>
              <w:adjustRightInd w:val="0"/>
              <w:snapToGrid w:val="0"/>
              <w:spacing w:before="79" w:beforeLines="25" w:after="79" w:afterLines="25"/>
              <w:ind w:left="0" w:leftChars="0" w:firstLine="0" w:firstLineChars="0"/>
              <w:jc w:val="center"/>
              <w:textAlignment w:val="auto"/>
              <w:rPr>
                <w:rFonts w:ascii="Times New Roman" w:hAnsi="Times New Roman" w:eastAsia="宋体" w:cs="Times New Roman"/>
                <w:sz w:val="21"/>
                <w:szCs w:val="21"/>
              </w:rPr>
            </w:pPr>
            <w:r>
              <w:rPr>
                <w:rFonts w:hint="default" w:ascii="Times New Roman" w:hAnsi="Times New Roman" w:eastAsia="宋体" w:cs="Times New Roman"/>
                <w:kern w:val="2"/>
                <w:sz w:val="21"/>
                <w:szCs w:val="21"/>
                <w:lang w:val="en-US" w:eastAsia="zh-CN" w:bidi="ar-SA"/>
              </w:rPr>
              <w:t>9</w:t>
            </w:r>
          </w:p>
        </w:tc>
        <w:tc>
          <w:tcPr>
            <w:tcW w:w="202" w:type="pct"/>
            <w:tcMar>
              <w:left w:w="28" w:type="dxa"/>
              <w:right w:w="28" w:type="dxa"/>
            </w:tcMar>
            <w:vAlign w:val="center"/>
          </w:tcPr>
          <w:p w14:paraId="2875D3EB">
            <w:pPr>
              <w:keepNext w:val="0"/>
              <w:keepLines w:val="0"/>
              <w:pageBreakBefore w:val="0"/>
              <w:widowControl/>
              <w:suppressLineNumbers w:val="0"/>
              <w:kinsoku/>
              <w:wordWrap/>
              <w:overflowPunct/>
              <w:topLinePunct w:val="0"/>
              <w:autoSpaceDE/>
              <w:autoSpaceDN/>
              <w:bidi w:val="0"/>
              <w:snapToGrid w:val="0"/>
              <w:spacing w:before="79" w:beforeLines="25" w:after="79" w:afterLines="25"/>
              <w:jc w:val="left"/>
              <w:textAlignment w:val="top"/>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绿色低碳</w:t>
            </w:r>
          </w:p>
        </w:tc>
        <w:tc>
          <w:tcPr>
            <w:tcW w:w="657" w:type="pct"/>
            <w:shd w:val="clear" w:color="auto" w:fill="auto"/>
            <w:tcMar>
              <w:left w:w="28" w:type="dxa"/>
              <w:right w:w="28" w:type="dxa"/>
            </w:tcMar>
            <w:vAlign w:val="center"/>
          </w:tcPr>
          <w:p w14:paraId="13CB5806">
            <w:pPr>
              <w:keepNext w:val="0"/>
              <w:keepLines w:val="0"/>
              <w:pageBreakBefore w:val="0"/>
              <w:widowControl/>
              <w:suppressLineNumbers w:val="0"/>
              <w:kinsoku/>
              <w:wordWrap/>
              <w:overflowPunct/>
              <w:topLinePunct w:val="0"/>
              <w:autoSpaceDE/>
              <w:autoSpaceDN/>
              <w:bidi w:val="0"/>
              <w:snapToGrid w:val="0"/>
              <w:spacing w:before="79" w:beforeLines="25" w:after="79" w:afterLines="25"/>
              <w:jc w:val="both"/>
              <w:textAlignment w:val="top"/>
              <w:rPr>
                <w:rFonts w:hint="eastAsia"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动力锂离子电池生产数字碳系统与碳排放管理标准化研究</w:t>
            </w:r>
          </w:p>
        </w:tc>
        <w:tc>
          <w:tcPr>
            <w:tcW w:w="5943" w:type="dxa"/>
            <w:shd w:val="clear" w:color="auto" w:fill="auto"/>
            <w:tcMar>
              <w:left w:w="28" w:type="dxa"/>
              <w:right w:w="28" w:type="dxa"/>
            </w:tcMar>
            <w:vAlign w:val="center"/>
          </w:tcPr>
          <w:p w14:paraId="55BE127F">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在全球“双碳”目标与动力电池产业高速发展的背景下，动力锂离子电池生产碳排放管理至关重要。然而，行业面临诸多挑战：生产工序复杂，碳排放数据采集、核算标准缺失，导致数据准确性与可比性差；数字化水平不足，缺乏有效的数字碳系统，难以实现碳排放的实时监测与智能管理；同时，国际绿色壁垒加剧，企业面临合规成本高、减排效率低等困境</w:t>
            </w:r>
            <w:r>
              <w:rPr>
                <w:rFonts w:hint="eastAsia"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本项目将系统剖析生产过程中的碳排放关键节点，结合工业互联网技术，构建动力锂离子电池生产数字碳系统，开发智能化核算与减排模型，打破数据孤岛。此外，探索建立科学的碳排放管理标准与评价体系，推进碳因子库建设等标准化工作，形成完整的碳排放标准化管理路线，为行业提供可复制的数字化碳管理方案，助力行业绿色低碳转型。</w:t>
            </w:r>
          </w:p>
        </w:tc>
        <w:tc>
          <w:tcPr>
            <w:tcW w:w="4527" w:type="dxa"/>
            <w:shd w:val="clear" w:color="auto" w:fill="auto"/>
            <w:tcMar>
              <w:left w:w="28" w:type="dxa"/>
              <w:right w:w="28" w:type="dxa"/>
            </w:tcMar>
            <w:vAlign w:val="center"/>
          </w:tcPr>
          <w:p w14:paraId="32EBFCD8">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1.完成动力锂离子电池生产数字碳系统与碳排放管理标准化研究报告，报告至少包含以下内容：</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（1）动力锂离子电池生产数字碳系统功能架构设计方案研究；</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（2）工业互联网技术在电池生产碳排放数据整合中的应用可行性分析；</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（3）智能化碳排放核算与减排模型研究；</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（4）碳排放管理与评价体系框架，以及碳因子库建设标准化规范研究。</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2.在《中国汽车》期刊上发表1篇论文。</w:t>
            </w:r>
          </w:p>
        </w:tc>
        <w:tc>
          <w:tcPr>
            <w:tcW w:w="270" w:type="pct"/>
            <w:shd w:val="clear" w:color="auto" w:fill="auto"/>
            <w:tcMar>
              <w:left w:w="28" w:type="dxa"/>
              <w:right w:w="28" w:type="dxa"/>
            </w:tcMar>
            <w:vAlign w:val="center"/>
          </w:tcPr>
          <w:p w14:paraId="339C898C">
            <w:pPr>
              <w:keepNext w:val="0"/>
              <w:keepLines w:val="0"/>
              <w:pageBreakBefore w:val="0"/>
              <w:widowControl/>
              <w:suppressLineNumbers w:val="0"/>
              <w:kinsoku/>
              <w:wordWrap/>
              <w:overflowPunct/>
              <w:topLinePunct w:val="0"/>
              <w:autoSpaceDE/>
              <w:autoSpaceDN/>
              <w:bidi w:val="0"/>
              <w:snapToGrid w:val="0"/>
              <w:spacing w:before="79" w:beforeLines="25" w:after="79" w:afterLines="25"/>
              <w:jc w:val="center"/>
              <w:textAlignment w:val="top"/>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w:t>
            </w:r>
          </w:p>
        </w:tc>
      </w:tr>
      <w:tr w14:paraId="16506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3" w:type="pct"/>
            <w:shd w:val="clear" w:color="auto" w:fill="auto"/>
            <w:tcMar>
              <w:left w:w="28" w:type="dxa"/>
              <w:right w:w="28" w:type="dxa"/>
            </w:tcMar>
            <w:vAlign w:val="center"/>
          </w:tcPr>
          <w:p w14:paraId="1F15F7C9">
            <w:pPr>
              <w:pStyle w:val="14"/>
              <w:keepNext w:val="0"/>
              <w:keepLines w:val="0"/>
              <w:pageBreakBefore w:val="0"/>
              <w:widowControl w:val="0"/>
              <w:numPr>
                <w:ilvl w:val="0"/>
                <w:numId w:val="0"/>
              </w:numPr>
              <w:kinsoku/>
              <w:wordWrap/>
              <w:overflowPunct/>
              <w:topLinePunct w:val="0"/>
              <w:autoSpaceDE/>
              <w:autoSpaceDN/>
              <w:bidi w:val="0"/>
              <w:adjustRightInd w:val="0"/>
              <w:snapToGrid w:val="0"/>
              <w:spacing w:before="79" w:beforeLines="25" w:after="79" w:afterLines="25"/>
              <w:ind w:left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10</w:t>
            </w:r>
          </w:p>
        </w:tc>
        <w:tc>
          <w:tcPr>
            <w:tcW w:w="202" w:type="pct"/>
            <w:tcMar>
              <w:left w:w="28" w:type="dxa"/>
              <w:right w:w="28" w:type="dxa"/>
            </w:tcMar>
            <w:vAlign w:val="center"/>
          </w:tcPr>
          <w:p w14:paraId="6C80A69F">
            <w:pPr>
              <w:keepNext w:val="0"/>
              <w:keepLines w:val="0"/>
              <w:pageBreakBefore w:val="0"/>
              <w:widowControl/>
              <w:suppressLineNumbers w:val="0"/>
              <w:kinsoku/>
              <w:wordWrap/>
              <w:overflowPunct/>
              <w:topLinePunct w:val="0"/>
              <w:autoSpaceDE/>
              <w:autoSpaceDN/>
              <w:bidi w:val="0"/>
              <w:snapToGrid w:val="0"/>
              <w:spacing w:before="79" w:beforeLines="25" w:after="79" w:afterLines="25"/>
              <w:jc w:val="left"/>
              <w:textAlignment w:val="top"/>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绿色低碳</w:t>
            </w:r>
          </w:p>
        </w:tc>
        <w:tc>
          <w:tcPr>
            <w:tcW w:w="657" w:type="pct"/>
            <w:shd w:val="clear" w:color="auto" w:fill="auto"/>
            <w:tcMar>
              <w:left w:w="28" w:type="dxa"/>
              <w:right w:w="28" w:type="dxa"/>
            </w:tcMar>
            <w:vAlign w:val="center"/>
          </w:tcPr>
          <w:p w14:paraId="39BEB87E">
            <w:pPr>
              <w:keepNext w:val="0"/>
              <w:keepLines w:val="0"/>
              <w:pageBreakBefore w:val="0"/>
              <w:widowControl/>
              <w:suppressLineNumbers w:val="0"/>
              <w:kinsoku/>
              <w:wordWrap/>
              <w:overflowPunct/>
              <w:topLinePunct w:val="0"/>
              <w:autoSpaceDE/>
              <w:autoSpaceDN/>
              <w:bidi w:val="0"/>
              <w:snapToGrid w:val="0"/>
              <w:spacing w:before="79" w:beforeLines="25" w:after="79" w:afterLines="25"/>
              <w:jc w:val="both"/>
              <w:textAlignment w:val="top"/>
              <w:rPr>
                <w:rFonts w:hint="eastAsia"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电动汽车车辆充电服务平台规范及信息交换方案研究</w:t>
            </w:r>
          </w:p>
        </w:tc>
        <w:tc>
          <w:tcPr>
            <w:tcW w:w="5943" w:type="dxa"/>
            <w:shd w:val="clear" w:color="auto" w:fill="auto"/>
            <w:tcMar>
              <w:left w:w="28" w:type="dxa"/>
              <w:right w:w="28" w:type="dxa"/>
            </w:tcMar>
            <w:vAlign w:val="center"/>
          </w:tcPr>
          <w:p w14:paraId="4EEBF90B">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车辆充电服务平台由电动汽车企业开发维护，可为汽车用户提供充电设施查询、车辆与企业平台之间的信息交互等服务。当前，车辆充电服务平台尚未制定国家或行业相关标准。但随着充电业务量快速增加、用户充电体验需求提升以及智能充电等多样化充电功能的应用需求，再加上汽车企业面临的充电设施信息孤岛等问题，亟需在不同汽车企业的车辆充电服务平台之间打通信息互联互通渠道，以实现充电场站自身信息、充电场站服务评价等设施信息的广播与交换，实现未来行业统一的即插即充、自动充电等智能充电功能方案落地应用，推动充电体验的持续优化，助力新能源汽车产业化和市场化提质升级。</w:t>
            </w:r>
          </w:p>
        </w:tc>
        <w:tc>
          <w:tcPr>
            <w:tcW w:w="4527" w:type="dxa"/>
            <w:shd w:val="clear" w:color="auto" w:fill="auto"/>
            <w:tcMar>
              <w:left w:w="28" w:type="dxa"/>
              <w:right w:w="28" w:type="dxa"/>
            </w:tcMar>
            <w:vAlign w:val="center"/>
          </w:tcPr>
          <w:p w14:paraId="47B303AC">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1.完成车辆充电服务平台信息交换方案的研究报告，报告至少包括以下内容：</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（1）车辆充电服务平台的行业现状梳理；</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（2）不同车辆充电服务平台之间信息交换的必要性；</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（3）不同车辆充电服务平台之间信息交换的实现路径、技术框架及核心内容要点。</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2.在《中国汽车》期刊上发表1篇论文。</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3.参与1次行业活动，汇报研究成果。</w:t>
            </w:r>
          </w:p>
        </w:tc>
        <w:tc>
          <w:tcPr>
            <w:tcW w:w="270" w:type="pct"/>
            <w:shd w:val="clear" w:color="auto" w:fill="auto"/>
            <w:tcMar>
              <w:left w:w="28" w:type="dxa"/>
              <w:right w:w="28" w:type="dxa"/>
            </w:tcMar>
            <w:vAlign w:val="center"/>
          </w:tcPr>
          <w:p w14:paraId="237EF6C0">
            <w:pPr>
              <w:keepNext w:val="0"/>
              <w:keepLines w:val="0"/>
              <w:pageBreakBefore w:val="0"/>
              <w:widowControl/>
              <w:suppressLineNumbers w:val="0"/>
              <w:kinsoku/>
              <w:wordWrap/>
              <w:overflowPunct/>
              <w:topLinePunct w:val="0"/>
              <w:autoSpaceDE/>
              <w:autoSpaceDN/>
              <w:bidi w:val="0"/>
              <w:snapToGrid w:val="0"/>
              <w:spacing w:before="79" w:beforeLines="25" w:after="79" w:afterLines="25"/>
              <w:jc w:val="center"/>
              <w:textAlignment w:val="top"/>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w:t>
            </w:r>
          </w:p>
        </w:tc>
      </w:tr>
    </w:tbl>
    <w:p w14:paraId="51080217">
      <w:pPr>
        <w:jc w:val="left"/>
        <w:rPr>
          <w:rFonts w:ascii="Times New Roman" w:hAnsi="Times New Roman" w:eastAsia="宋体" w:cs="Times New Roman"/>
          <w:sz w:val="24"/>
          <w:szCs w:val="24"/>
        </w:rPr>
      </w:pPr>
    </w:p>
    <w:sectPr>
      <w:footerReference r:id="rId3" w:type="default"/>
      <w:pgSz w:w="16838" w:h="11906" w:orient="landscape"/>
      <w:pgMar w:top="1304" w:right="1440" w:bottom="113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AAB86">
    <w:pPr>
      <w:pStyle w:val="4"/>
      <w:keepNext w:val="0"/>
      <w:keepLines w:val="0"/>
      <w:pageBreakBefore w:val="0"/>
      <w:widowControl w:val="0"/>
      <w:kinsoku/>
      <w:wordWrap/>
      <w:overflowPunct/>
      <w:topLinePunct w:val="0"/>
      <w:autoSpaceDE/>
      <w:autoSpaceDN/>
      <w:bidi w:val="0"/>
      <w:adjustRightInd/>
      <w:snapToGrid w:val="0"/>
      <w:jc w:val="center"/>
      <w:textAlignment w:val="auto"/>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sz w:val="28"/>
        <w:szCs w:val="28"/>
      </w:rPr>
      <w:t xml:space="preserve"> </w:t>
    </w:r>
    <w:r>
      <w:rPr>
        <w:rFonts w:hint="eastAsia" w:ascii="宋体" w:hAnsi="宋体"/>
        <w:sz w:val="28"/>
        <w:szCs w:val="28"/>
      </w:rPr>
      <w:t>—</w:t>
    </w:r>
  </w:p>
  <w:p w14:paraId="44876FF2">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E70"/>
    <w:rsid w:val="00006497"/>
    <w:rsid w:val="000069BB"/>
    <w:rsid w:val="00010917"/>
    <w:rsid w:val="00014284"/>
    <w:rsid w:val="00014AA4"/>
    <w:rsid w:val="000269DA"/>
    <w:rsid w:val="000432D4"/>
    <w:rsid w:val="00045883"/>
    <w:rsid w:val="000562EA"/>
    <w:rsid w:val="00070937"/>
    <w:rsid w:val="00091AA4"/>
    <w:rsid w:val="000953AB"/>
    <w:rsid w:val="000A2CEE"/>
    <w:rsid w:val="000D45CF"/>
    <w:rsid w:val="000E1C05"/>
    <w:rsid w:val="000E6FE4"/>
    <w:rsid w:val="000E79B2"/>
    <w:rsid w:val="000F4BEB"/>
    <w:rsid w:val="001216EB"/>
    <w:rsid w:val="00125182"/>
    <w:rsid w:val="00126950"/>
    <w:rsid w:val="001346D1"/>
    <w:rsid w:val="001409E2"/>
    <w:rsid w:val="00140C26"/>
    <w:rsid w:val="00175E95"/>
    <w:rsid w:val="001951C2"/>
    <w:rsid w:val="001A48B5"/>
    <w:rsid w:val="001C4A12"/>
    <w:rsid w:val="001F309D"/>
    <w:rsid w:val="001F696B"/>
    <w:rsid w:val="00205248"/>
    <w:rsid w:val="00225840"/>
    <w:rsid w:val="00235068"/>
    <w:rsid w:val="00242CEE"/>
    <w:rsid w:val="00245BEB"/>
    <w:rsid w:val="002633CE"/>
    <w:rsid w:val="00280825"/>
    <w:rsid w:val="00283CD6"/>
    <w:rsid w:val="002845FD"/>
    <w:rsid w:val="00290CAF"/>
    <w:rsid w:val="00292D97"/>
    <w:rsid w:val="002A1B1A"/>
    <w:rsid w:val="002A5AA5"/>
    <w:rsid w:val="002B095B"/>
    <w:rsid w:val="002B6CEE"/>
    <w:rsid w:val="002C79C1"/>
    <w:rsid w:val="002E4034"/>
    <w:rsid w:val="00316E38"/>
    <w:rsid w:val="00325648"/>
    <w:rsid w:val="0033392E"/>
    <w:rsid w:val="00337057"/>
    <w:rsid w:val="0034203B"/>
    <w:rsid w:val="0035797B"/>
    <w:rsid w:val="00363D08"/>
    <w:rsid w:val="00370EA6"/>
    <w:rsid w:val="0037269E"/>
    <w:rsid w:val="003753A6"/>
    <w:rsid w:val="00396189"/>
    <w:rsid w:val="003A1BEB"/>
    <w:rsid w:val="003A4295"/>
    <w:rsid w:val="003A50F9"/>
    <w:rsid w:val="003A6B4E"/>
    <w:rsid w:val="003A76ED"/>
    <w:rsid w:val="003B0813"/>
    <w:rsid w:val="003C1420"/>
    <w:rsid w:val="003D0B12"/>
    <w:rsid w:val="003D7C07"/>
    <w:rsid w:val="004151F8"/>
    <w:rsid w:val="004206CE"/>
    <w:rsid w:val="0042113D"/>
    <w:rsid w:val="00422269"/>
    <w:rsid w:val="00430F6E"/>
    <w:rsid w:val="00445228"/>
    <w:rsid w:val="0045795B"/>
    <w:rsid w:val="004612C0"/>
    <w:rsid w:val="00487949"/>
    <w:rsid w:val="00491716"/>
    <w:rsid w:val="00494A77"/>
    <w:rsid w:val="00494FFB"/>
    <w:rsid w:val="004A5183"/>
    <w:rsid w:val="004C34EA"/>
    <w:rsid w:val="004D009C"/>
    <w:rsid w:val="004E6B73"/>
    <w:rsid w:val="004F3DAA"/>
    <w:rsid w:val="004F716B"/>
    <w:rsid w:val="005167AB"/>
    <w:rsid w:val="0052179D"/>
    <w:rsid w:val="00522BCA"/>
    <w:rsid w:val="0052798F"/>
    <w:rsid w:val="005401F5"/>
    <w:rsid w:val="00546C75"/>
    <w:rsid w:val="005473E8"/>
    <w:rsid w:val="00560665"/>
    <w:rsid w:val="0056268E"/>
    <w:rsid w:val="00562A22"/>
    <w:rsid w:val="00565F7C"/>
    <w:rsid w:val="00580E32"/>
    <w:rsid w:val="00581F8E"/>
    <w:rsid w:val="005913AE"/>
    <w:rsid w:val="005A0CD2"/>
    <w:rsid w:val="005B1B18"/>
    <w:rsid w:val="005B7E38"/>
    <w:rsid w:val="005B7F96"/>
    <w:rsid w:val="005C5573"/>
    <w:rsid w:val="005E777E"/>
    <w:rsid w:val="00602B90"/>
    <w:rsid w:val="00613F3F"/>
    <w:rsid w:val="006171D6"/>
    <w:rsid w:val="006207F0"/>
    <w:rsid w:val="00642108"/>
    <w:rsid w:val="006438EA"/>
    <w:rsid w:val="006463CC"/>
    <w:rsid w:val="00656145"/>
    <w:rsid w:val="00666FDC"/>
    <w:rsid w:val="006768EE"/>
    <w:rsid w:val="00683446"/>
    <w:rsid w:val="00684431"/>
    <w:rsid w:val="006919DF"/>
    <w:rsid w:val="00693865"/>
    <w:rsid w:val="006A2869"/>
    <w:rsid w:val="006A669F"/>
    <w:rsid w:val="006A77D2"/>
    <w:rsid w:val="006D2A16"/>
    <w:rsid w:val="00703E6F"/>
    <w:rsid w:val="00711654"/>
    <w:rsid w:val="0071627A"/>
    <w:rsid w:val="0074040A"/>
    <w:rsid w:val="00750AF4"/>
    <w:rsid w:val="00755F8F"/>
    <w:rsid w:val="00762712"/>
    <w:rsid w:val="0077373E"/>
    <w:rsid w:val="00790733"/>
    <w:rsid w:val="007A027D"/>
    <w:rsid w:val="007B22D4"/>
    <w:rsid w:val="007C1F7B"/>
    <w:rsid w:val="007C4ED5"/>
    <w:rsid w:val="007D45ED"/>
    <w:rsid w:val="007D4D7D"/>
    <w:rsid w:val="007D58BE"/>
    <w:rsid w:val="007D5A92"/>
    <w:rsid w:val="007D7AD3"/>
    <w:rsid w:val="007E49C2"/>
    <w:rsid w:val="007E65C8"/>
    <w:rsid w:val="007E739F"/>
    <w:rsid w:val="007F0CBF"/>
    <w:rsid w:val="007F4232"/>
    <w:rsid w:val="007F6242"/>
    <w:rsid w:val="00802857"/>
    <w:rsid w:val="00817C7C"/>
    <w:rsid w:val="00821740"/>
    <w:rsid w:val="00834576"/>
    <w:rsid w:val="00835E85"/>
    <w:rsid w:val="00841E19"/>
    <w:rsid w:val="008427E6"/>
    <w:rsid w:val="0085298A"/>
    <w:rsid w:val="0085799E"/>
    <w:rsid w:val="00873BFC"/>
    <w:rsid w:val="00873C6F"/>
    <w:rsid w:val="0087476C"/>
    <w:rsid w:val="00885B6F"/>
    <w:rsid w:val="008927AF"/>
    <w:rsid w:val="00895C8D"/>
    <w:rsid w:val="008A11AF"/>
    <w:rsid w:val="008A1B79"/>
    <w:rsid w:val="008A46D8"/>
    <w:rsid w:val="008B225D"/>
    <w:rsid w:val="008C1D38"/>
    <w:rsid w:val="008C2B2A"/>
    <w:rsid w:val="008D6089"/>
    <w:rsid w:val="008D62AD"/>
    <w:rsid w:val="008D7EB0"/>
    <w:rsid w:val="008F4B2A"/>
    <w:rsid w:val="00906789"/>
    <w:rsid w:val="00911374"/>
    <w:rsid w:val="00926FC0"/>
    <w:rsid w:val="0092798B"/>
    <w:rsid w:val="00931499"/>
    <w:rsid w:val="00935A39"/>
    <w:rsid w:val="00935FA2"/>
    <w:rsid w:val="009462CD"/>
    <w:rsid w:val="0096410E"/>
    <w:rsid w:val="00991929"/>
    <w:rsid w:val="009A41D4"/>
    <w:rsid w:val="009B3DAF"/>
    <w:rsid w:val="009B4BF2"/>
    <w:rsid w:val="009D618B"/>
    <w:rsid w:val="009D7024"/>
    <w:rsid w:val="009E6B63"/>
    <w:rsid w:val="009F48C5"/>
    <w:rsid w:val="009F50EC"/>
    <w:rsid w:val="00A022F1"/>
    <w:rsid w:val="00A03CA6"/>
    <w:rsid w:val="00A069AB"/>
    <w:rsid w:val="00A11020"/>
    <w:rsid w:val="00A134E0"/>
    <w:rsid w:val="00A22976"/>
    <w:rsid w:val="00A26DF5"/>
    <w:rsid w:val="00A26E5F"/>
    <w:rsid w:val="00A32482"/>
    <w:rsid w:val="00A402B4"/>
    <w:rsid w:val="00A67136"/>
    <w:rsid w:val="00A719AB"/>
    <w:rsid w:val="00A82607"/>
    <w:rsid w:val="00A85C40"/>
    <w:rsid w:val="00A9105B"/>
    <w:rsid w:val="00A9726F"/>
    <w:rsid w:val="00AA644F"/>
    <w:rsid w:val="00AA7501"/>
    <w:rsid w:val="00AB221F"/>
    <w:rsid w:val="00AB28FF"/>
    <w:rsid w:val="00AB5728"/>
    <w:rsid w:val="00AD09AA"/>
    <w:rsid w:val="00AD55F8"/>
    <w:rsid w:val="00B04E64"/>
    <w:rsid w:val="00B149A3"/>
    <w:rsid w:val="00B177D3"/>
    <w:rsid w:val="00B20D31"/>
    <w:rsid w:val="00B27075"/>
    <w:rsid w:val="00B32B2C"/>
    <w:rsid w:val="00B70AB7"/>
    <w:rsid w:val="00B74690"/>
    <w:rsid w:val="00B81A04"/>
    <w:rsid w:val="00B85606"/>
    <w:rsid w:val="00B87850"/>
    <w:rsid w:val="00B9099A"/>
    <w:rsid w:val="00B96698"/>
    <w:rsid w:val="00BA25C5"/>
    <w:rsid w:val="00BA5738"/>
    <w:rsid w:val="00BA6DD4"/>
    <w:rsid w:val="00BD4AA8"/>
    <w:rsid w:val="00BD5201"/>
    <w:rsid w:val="00BF4DA5"/>
    <w:rsid w:val="00BF6286"/>
    <w:rsid w:val="00C0285F"/>
    <w:rsid w:val="00C05049"/>
    <w:rsid w:val="00C14E89"/>
    <w:rsid w:val="00C16E69"/>
    <w:rsid w:val="00C34650"/>
    <w:rsid w:val="00C37056"/>
    <w:rsid w:val="00C4395B"/>
    <w:rsid w:val="00C44A78"/>
    <w:rsid w:val="00C45138"/>
    <w:rsid w:val="00C63757"/>
    <w:rsid w:val="00C639E3"/>
    <w:rsid w:val="00C66141"/>
    <w:rsid w:val="00C6774A"/>
    <w:rsid w:val="00C76A9A"/>
    <w:rsid w:val="00C90EF4"/>
    <w:rsid w:val="00CA0F1A"/>
    <w:rsid w:val="00CA7304"/>
    <w:rsid w:val="00CB42DE"/>
    <w:rsid w:val="00CB484A"/>
    <w:rsid w:val="00CC29D2"/>
    <w:rsid w:val="00CC3D6B"/>
    <w:rsid w:val="00CD7FD2"/>
    <w:rsid w:val="00CE316F"/>
    <w:rsid w:val="00CE47B8"/>
    <w:rsid w:val="00CE59CF"/>
    <w:rsid w:val="00CF1CD3"/>
    <w:rsid w:val="00CF33B7"/>
    <w:rsid w:val="00CF3CC7"/>
    <w:rsid w:val="00CF5B39"/>
    <w:rsid w:val="00CF7B1B"/>
    <w:rsid w:val="00D00FA5"/>
    <w:rsid w:val="00D0389D"/>
    <w:rsid w:val="00D03B8D"/>
    <w:rsid w:val="00D1563E"/>
    <w:rsid w:val="00D15A8B"/>
    <w:rsid w:val="00D23CFB"/>
    <w:rsid w:val="00D24A59"/>
    <w:rsid w:val="00D27386"/>
    <w:rsid w:val="00D41A19"/>
    <w:rsid w:val="00D53334"/>
    <w:rsid w:val="00D61E03"/>
    <w:rsid w:val="00D66E5F"/>
    <w:rsid w:val="00D756A1"/>
    <w:rsid w:val="00D866B9"/>
    <w:rsid w:val="00DC1813"/>
    <w:rsid w:val="00DC3750"/>
    <w:rsid w:val="00DF264A"/>
    <w:rsid w:val="00E01A0A"/>
    <w:rsid w:val="00E405E8"/>
    <w:rsid w:val="00E42A23"/>
    <w:rsid w:val="00E430F1"/>
    <w:rsid w:val="00E452A5"/>
    <w:rsid w:val="00E46B1E"/>
    <w:rsid w:val="00E46EA7"/>
    <w:rsid w:val="00E539E8"/>
    <w:rsid w:val="00E56E6C"/>
    <w:rsid w:val="00E63E0D"/>
    <w:rsid w:val="00E73BB7"/>
    <w:rsid w:val="00E80A3D"/>
    <w:rsid w:val="00E8614F"/>
    <w:rsid w:val="00E91BE5"/>
    <w:rsid w:val="00E9332C"/>
    <w:rsid w:val="00EA3531"/>
    <w:rsid w:val="00EB76EF"/>
    <w:rsid w:val="00ED14E3"/>
    <w:rsid w:val="00ED3173"/>
    <w:rsid w:val="00EE7C3E"/>
    <w:rsid w:val="00F03196"/>
    <w:rsid w:val="00F14E07"/>
    <w:rsid w:val="00F53B80"/>
    <w:rsid w:val="00F541DC"/>
    <w:rsid w:val="00F63D4F"/>
    <w:rsid w:val="00F750D4"/>
    <w:rsid w:val="00F82DE9"/>
    <w:rsid w:val="00F86DFC"/>
    <w:rsid w:val="00F87EB3"/>
    <w:rsid w:val="00F949BA"/>
    <w:rsid w:val="00F95C74"/>
    <w:rsid w:val="00FA1D07"/>
    <w:rsid w:val="00FA51A6"/>
    <w:rsid w:val="00FB448F"/>
    <w:rsid w:val="00FB5465"/>
    <w:rsid w:val="00FC6BCB"/>
    <w:rsid w:val="00FC79CB"/>
    <w:rsid w:val="00FC7DBB"/>
    <w:rsid w:val="00FE60E5"/>
    <w:rsid w:val="082810DB"/>
    <w:rsid w:val="0C8C212E"/>
    <w:rsid w:val="0FBD222C"/>
    <w:rsid w:val="1C8726B7"/>
    <w:rsid w:val="201B6BAA"/>
    <w:rsid w:val="201E6C45"/>
    <w:rsid w:val="216D49AA"/>
    <w:rsid w:val="24DB0068"/>
    <w:rsid w:val="32E25230"/>
    <w:rsid w:val="367639AC"/>
    <w:rsid w:val="3B1814A5"/>
    <w:rsid w:val="3DF257B2"/>
    <w:rsid w:val="493214E4"/>
    <w:rsid w:val="4C123874"/>
    <w:rsid w:val="53C35877"/>
    <w:rsid w:val="59AF0316"/>
    <w:rsid w:val="75D508FD"/>
    <w:rsid w:val="7F474C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page number"/>
    <w:basedOn w:val="9"/>
    <w:qFormat/>
    <w:uiPriority w:val="0"/>
  </w:style>
  <w:style w:type="character" w:customStyle="1" w:styleId="12">
    <w:name w:val="页眉 字符"/>
    <w:basedOn w:val="9"/>
    <w:link w:val="5"/>
    <w:qFormat/>
    <w:uiPriority w:val="0"/>
    <w:rPr>
      <w:sz w:val="18"/>
      <w:szCs w:val="18"/>
    </w:rPr>
  </w:style>
  <w:style w:type="character" w:customStyle="1" w:styleId="13">
    <w:name w:val="页脚 字符"/>
    <w:basedOn w:val="9"/>
    <w:link w:val="4"/>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fontstyle01"/>
    <w:basedOn w:val="9"/>
    <w:qFormat/>
    <w:uiPriority w:val="0"/>
    <w:rPr>
      <w:rFonts w:hint="eastAsia" w:ascii="黑体" w:hAnsi="黑体" w:eastAsia="黑体"/>
      <w:color w:val="000000"/>
      <w:sz w:val="32"/>
      <w:szCs w:val="32"/>
    </w:rPr>
  </w:style>
  <w:style w:type="character" w:customStyle="1" w:styleId="16">
    <w:name w:val="apple-converted-space"/>
    <w:basedOn w:val="9"/>
    <w:qFormat/>
    <w:uiPriority w:val="0"/>
  </w:style>
  <w:style w:type="character" w:customStyle="1" w:styleId="17">
    <w:name w:val="批注框文本 字符"/>
    <w:basedOn w:val="9"/>
    <w:link w:val="3"/>
    <w:semiHidden/>
    <w:qFormat/>
    <w:uiPriority w:val="99"/>
    <w:rPr>
      <w:sz w:val="18"/>
      <w:szCs w:val="18"/>
    </w:rPr>
  </w:style>
  <w:style w:type="character" w:customStyle="1" w:styleId="18">
    <w:name w:val="font31"/>
    <w:basedOn w:val="9"/>
    <w:qFormat/>
    <w:uiPriority w:val="0"/>
    <w:rPr>
      <w:rFonts w:hint="eastAsia" w:ascii="宋体" w:hAnsi="宋体" w:eastAsia="宋体" w:cs="宋体"/>
      <w:color w:val="000000"/>
      <w:sz w:val="24"/>
      <w:szCs w:val="24"/>
      <w:u w:val="none"/>
    </w:rPr>
  </w:style>
  <w:style w:type="character" w:customStyle="1" w:styleId="19">
    <w:name w:val="font61"/>
    <w:basedOn w:val="9"/>
    <w:qFormat/>
    <w:uiPriority w:val="0"/>
    <w:rPr>
      <w:rFonts w:hint="default" w:ascii="Times New Roman" w:hAnsi="Times New Roman" w:cs="Times New Roman"/>
      <w:color w:val="000000"/>
      <w:sz w:val="24"/>
      <w:szCs w:val="24"/>
      <w:u w:val="none"/>
    </w:rPr>
  </w:style>
  <w:style w:type="character" w:customStyle="1" w:styleId="20">
    <w:name w:val="font11"/>
    <w:basedOn w:val="9"/>
    <w:qFormat/>
    <w:uiPriority w:val="0"/>
    <w:rPr>
      <w:rFonts w:hint="eastAsia" w:ascii="宋体" w:hAnsi="宋体" w:eastAsia="宋体" w:cs="宋体"/>
      <w:color w:val="000000"/>
      <w:sz w:val="24"/>
      <w:szCs w:val="24"/>
      <w:u w:val="none"/>
    </w:rPr>
  </w:style>
  <w:style w:type="character" w:customStyle="1" w:styleId="21">
    <w:name w:val="font51"/>
    <w:basedOn w:val="9"/>
    <w:qFormat/>
    <w:uiPriority w:val="0"/>
    <w:rPr>
      <w:rFonts w:ascii="Arial" w:hAnsi="Arial" w:cs="Arial"/>
      <w:color w:val="000000"/>
      <w:sz w:val="24"/>
      <w:szCs w:val="24"/>
      <w:u w:val="none"/>
    </w:rPr>
  </w:style>
  <w:style w:type="character" w:customStyle="1" w:styleId="22">
    <w:name w:val="font81"/>
    <w:basedOn w:val="9"/>
    <w:qFormat/>
    <w:uiPriority w:val="0"/>
    <w:rPr>
      <w:rFonts w:hint="default" w:ascii="Times New Roman" w:hAnsi="Times New Roman" w:cs="Times New Roman"/>
      <w:color w:val="000000"/>
      <w:sz w:val="24"/>
      <w:szCs w:val="24"/>
      <w:u w:val="none"/>
    </w:rPr>
  </w:style>
  <w:style w:type="character" w:customStyle="1" w:styleId="23">
    <w:name w:val="font71"/>
    <w:basedOn w:val="9"/>
    <w:qFormat/>
    <w:uiPriority w:val="0"/>
    <w:rPr>
      <w:rFonts w:hint="eastAsia" w:ascii="宋体" w:hAnsi="宋体" w:eastAsia="宋体" w:cs="宋体"/>
      <w:color w:val="000000"/>
      <w:sz w:val="24"/>
      <w:szCs w:val="24"/>
      <w:u w:val="none"/>
    </w:rPr>
  </w:style>
  <w:style w:type="character" w:customStyle="1" w:styleId="24">
    <w:name w:val="font21"/>
    <w:basedOn w:val="9"/>
    <w:qFormat/>
    <w:uiPriority w:val="0"/>
    <w:rPr>
      <w:rFonts w:hint="default" w:ascii="Arial" w:hAnsi="Arial" w:cs="Arial"/>
      <w:color w:val="000000"/>
      <w:sz w:val="24"/>
      <w:szCs w:val="24"/>
      <w:u w:val="none"/>
    </w:rPr>
  </w:style>
  <w:style w:type="character" w:customStyle="1" w:styleId="25">
    <w:name w:val="font41"/>
    <w:basedOn w:val="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403</Words>
  <Characters>2299</Characters>
  <Lines>19</Lines>
  <Paragraphs>5</Paragraphs>
  <TotalTime>61</TotalTime>
  <ScaleCrop>false</ScaleCrop>
  <LinksUpToDate>false</LinksUpToDate>
  <CharactersWithSpaces>2697</CharactersWithSpaces>
  <Application>WPS Office_12.8.2.18676_F1E327BC-269C-435d-A152-05C5408002CA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2018-03-12T05:51:00Z</dcterms:created>
  <dc:creator>PPPPP</dc:creator>
  <cp:lastModifiedBy>庞子卉</cp:lastModifiedBy>
  <cp:lastPrinted>2020-05-18T09:29:00Z</cp:lastPrinted>
  <dcterms:modified xsi:type="dcterms:W3CDTF">2025-07-03T09:14:05Z</dcterms:modified>
  <cp:revision>255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2052-12.8.2.18676</vt:lpwstr>
  </property>
  <property fmtid="{D5CDD505-2E9C-101B-9397-08002B2CF9AE}" pid="3" name="ICV">
    <vt:lpwstr>CB2B0F4C45434F66B36CB8CCAACFE42B_13</vt:lpwstr>
  </property>
</Properties>
</file>